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875F8" w:rsidR="00E66558" w:rsidP="4078E99F" w:rsidRDefault="7FA3BBCD" w14:paraId="58982D0E" w14:textId="4F29BE8F">
      <w:pPr>
        <w:pStyle w:val="Heading1"/>
        <w:shd w:val="clear" w:color="auto" w:fill="808080" w:themeFill="background1" w:themeFillShade="80"/>
        <w:ind w:right="1699"/>
        <w:jc w:val="center"/>
        <w:rPr>
          <w:rFonts w:asciiTheme="minorHAnsi" w:hAnsiTheme="minorHAnsi" w:eastAsiaTheme="minorEastAsia" w:cstheme="minorBidi"/>
          <w:color w:val="FFFFFF" w:themeColor="background1"/>
          <w:szCs w:val="36"/>
        </w:rPr>
      </w:pPr>
      <w:bookmarkStart w:name="_Toc400361362" w:id="0"/>
      <w:bookmarkStart w:name="_Toc443397153" w:id="1"/>
      <w:bookmarkStart w:name="_Toc357771638" w:id="2"/>
      <w:bookmarkStart w:name="_Toc346793416" w:id="3"/>
      <w:bookmarkStart w:name="_Toc328122777" w:id="4"/>
      <w:r w:rsidRPr="297BACBC">
        <w:rPr>
          <w:rFonts w:asciiTheme="minorHAnsi" w:hAnsiTheme="minorHAnsi" w:eastAsiaTheme="minorEastAsia" w:cstheme="minorBidi"/>
          <w:color w:val="FFFFFF" w:themeColor="background1"/>
          <w:szCs w:val="36"/>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297BACBC" w:rsidR="4827D571">
        <w:rPr>
          <w:rFonts w:asciiTheme="minorHAnsi" w:hAnsiTheme="minorHAnsi" w:eastAsiaTheme="minorEastAsia" w:cstheme="minorBidi"/>
          <w:color w:val="FFFFFF" w:themeColor="background1"/>
          <w:szCs w:val="36"/>
        </w:rPr>
        <w:t xml:space="preserve"> 202</w:t>
      </w:r>
      <w:r w:rsidRPr="297BACBC" w:rsidR="4146BE50">
        <w:rPr>
          <w:rFonts w:asciiTheme="minorHAnsi" w:hAnsiTheme="minorHAnsi" w:eastAsiaTheme="minorEastAsia" w:cstheme="minorBidi"/>
          <w:color w:val="FFFFFF" w:themeColor="background1"/>
          <w:szCs w:val="36"/>
        </w:rPr>
        <w:t>3</w:t>
      </w:r>
      <w:r w:rsidRPr="297BACBC" w:rsidR="4827D571">
        <w:rPr>
          <w:rFonts w:asciiTheme="minorHAnsi" w:hAnsiTheme="minorHAnsi" w:eastAsiaTheme="minorEastAsia" w:cstheme="minorBidi"/>
          <w:color w:val="FFFFFF" w:themeColor="background1"/>
          <w:szCs w:val="36"/>
        </w:rPr>
        <w:t>-202</w:t>
      </w:r>
      <w:r w:rsidRPr="297BACBC" w:rsidR="4146BE50">
        <w:rPr>
          <w:rFonts w:asciiTheme="minorHAnsi" w:hAnsiTheme="minorHAnsi" w:eastAsiaTheme="minorEastAsia" w:cstheme="minorBidi"/>
          <w:color w:val="FFFFFF" w:themeColor="background1"/>
          <w:szCs w:val="36"/>
        </w:rPr>
        <w:t>6</w:t>
      </w:r>
    </w:p>
    <w:p w:rsidRPr="006875F8" w:rsidR="00E66558" w:rsidP="4078E99F" w:rsidRDefault="7FA3BBCD" w14:paraId="2A7D54B2" w14:textId="48FF0FF2">
      <w:pPr>
        <w:pStyle w:val="Heading2"/>
        <w:rPr>
          <w:rFonts w:asciiTheme="minorHAnsi" w:hAnsiTheme="minorHAnsi" w:eastAsiaTheme="minorEastAsia" w:cstheme="minorBidi"/>
          <w:b w:val="0"/>
          <w:color w:val="auto"/>
          <w:sz w:val="22"/>
          <w:szCs w:val="22"/>
        </w:rPr>
      </w:pPr>
      <w:r w:rsidRPr="4078E99F">
        <w:rPr>
          <w:rFonts w:asciiTheme="minorHAnsi" w:hAnsiTheme="minorHAnsi" w:eastAsiaTheme="minorEastAsia" w:cstheme="minorBidi"/>
          <w:b w:val="0"/>
          <w:color w:val="auto"/>
          <w:sz w:val="22"/>
          <w:szCs w:val="22"/>
        </w:rPr>
        <w:t>This statement details our school’s use of pupil premium funding</w:t>
      </w:r>
      <w:r w:rsidRPr="4078E99F" w:rsidR="13C44785">
        <w:rPr>
          <w:rFonts w:asciiTheme="minorHAnsi" w:hAnsiTheme="minorHAnsi" w:eastAsiaTheme="minorEastAsia" w:cstheme="minorBidi"/>
          <w:b w:val="0"/>
          <w:color w:val="auto"/>
          <w:sz w:val="22"/>
          <w:szCs w:val="22"/>
        </w:rPr>
        <w:t xml:space="preserve"> (and recovery premium)</w:t>
      </w:r>
      <w:r w:rsidRPr="4078E99F">
        <w:rPr>
          <w:rFonts w:asciiTheme="minorHAnsi" w:hAnsiTheme="minorHAnsi" w:eastAsiaTheme="minorEastAsia" w:cstheme="minorBidi"/>
          <w:b w:val="0"/>
          <w:color w:val="auto"/>
          <w:sz w:val="22"/>
          <w:szCs w:val="22"/>
        </w:rPr>
        <w:t xml:space="preserve"> to help improve the attainment of our disadvantaged pupils. </w:t>
      </w:r>
    </w:p>
    <w:p w:rsidRPr="006875F8" w:rsidR="00E66558" w:rsidP="297BACBC" w:rsidRDefault="009D71E8" w14:paraId="2A7D54B3" w14:textId="77777777">
      <w:pPr>
        <w:pStyle w:val="Heading2"/>
        <w:spacing w:before="240"/>
        <w:rPr>
          <w:rFonts w:asciiTheme="minorHAnsi" w:hAnsiTheme="minorHAnsi" w:eastAsiaTheme="minorEastAsia" w:cstheme="minorBidi"/>
          <w:b w:val="0"/>
          <w:color w:val="auto"/>
          <w:sz w:val="22"/>
          <w:szCs w:val="22"/>
        </w:rPr>
      </w:pPr>
      <w:r w:rsidRPr="297BACBC">
        <w:rPr>
          <w:rFonts w:asciiTheme="minorHAnsi" w:hAnsiTheme="minorHAnsi" w:eastAsiaTheme="minorEastAsia" w:cstheme="minorBidi"/>
          <w:b w:val="0"/>
          <w:color w:val="auto"/>
          <w:sz w:val="22"/>
          <w:szCs w:val="22"/>
        </w:rPr>
        <w:t xml:space="preserve">It outlines our pupil premium strategy, how we intend to spend the funding in this academic year and the effect that last year’s spending of pupil premium had within our school. </w:t>
      </w:r>
    </w:p>
    <w:p w:rsidRPr="006875F8" w:rsidR="00E66558" w:rsidP="297BACBC" w:rsidRDefault="009D71E8" w14:paraId="2A7D54B4" w14:textId="77777777">
      <w:pPr>
        <w:pStyle w:val="Heading2"/>
        <w:shd w:val="clear" w:color="auto" w:fill="808080" w:themeFill="background1" w:themeFillShade="80"/>
        <w:rPr>
          <w:rFonts w:asciiTheme="minorHAnsi" w:hAnsiTheme="minorHAnsi" w:eastAsiaTheme="minorEastAsia" w:cstheme="minorBidi"/>
          <w:color w:val="FFFFFF" w:themeColor="background1"/>
        </w:rPr>
      </w:pPr>
      <w:r w:rsidRPr="297BACBC">
        <w:rPr>
          <w:rFonts w:asciiTheme="minorHAnsi" w:hAnsiTheme="minorHAnsi" w:eastAsiaTheme="minorEastAsia" w:cstheme="minorBidi"/>
          <w:color w:val="FFFFFF" w:themeColor="background1"/>
        </w:rPr>
        <w:t>School overview</w:t>
      </w:r>
      <w:bookmarkEnd w:id="5"/>
      <w:bookmarkEnd w:id="6"/>
      <w:bookmarkEnd w:id="7"/>
      <w:bookmarkEnd w:id="8"/>
      <w:bookmarkEnd w:id="9"/>
      <w:bookmarkEnd w:id="10"/>
      <w:bookmarkEnd w:id="11"/>
      <w:bookmarkEnd w:id="12"/>
      <w:bookmarkEnd w:id="13"/>
    </w:p>
    <w:tbl>
      <w:tblPr>
        <w:tblW w:w="9486" w:type="dxa"/>
        <w:tblCellMar>
          <w:left w:w="10" w:type="dxa"/>
          <w:right w:w="10" w:type="dxa"/>
        </w:tblCellMar>
        <w:tblLook w:val="04A0" w:firstRow="1" w:lastRow="0" w:firstColumn="1" w:lastColumn="0" w:noHBand="0" w:noVBand="1"/>
      </w:tblPr>
      <w:tblGrid>
        <w:gridCol w:w="5760"/>
        <w:gridCol w:w="3726"/>
      </w:tblGrid>
      <w:tr w:rsidRPr="006875F8" w:rsidR="00E66558" w:rsidTr="77B54B41" w14:paraId="2A7D54B7"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4B5"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Detail</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4B6"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Data</w:t>
            </w:r>
          </w:p>
        </w:tc>
      </w:tr>
      <w:tr w:rsidRPr="006875F8" w:rsidR="00E66558" w:rsidTr="77B54B41" w14:paraId="2A7D54BA"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B8"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School name</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3BF3EBA5" w14:paraId="2A7D54B9" w14:textId="15F41EDE">
            <w:pPr>
              <w:pStyle w:val="TableRow"/>
              <w:rPr>
                <w:rFonts w:asciiTheme="minorHAnsi" w:hAnsiTheme="minorHAnsi" w:eastAsiaTheme="minorEastAsia" w:cstheme="minorBidi"/>
                <w:sz w:val="22"/>
                <w:szCs w:val="22"/>
              </w:rPr>
            </w:pPr>
            <w:proofErr w:type="spellStart"/>
            <w:r w:rsidRPr="297BACBC">
              <w:rPr>
                <w:rFonts w:asciiTheme="minorHAnsi" w:hAnsiTheme="minorHAnsi" w:eastAsiaTheme="minorEastAsia" w:cstheme="minorBidi"/>
                <w:sz w:val="22"/>
                <w:szCs w:val="22"/>
              </w:rPr>
              <w:t>Hatchell</w:t>
            </w:r>
            <w:proofErr w:type="spellEnd"/>
            <w:r w:rsidRPr="297BACBC">
              <w:rPr>
                <w:rFonts w:asciiTheme="minorHAnsi" w:hAnsiTheme="minorHAnsi" w:eastAsiaTheme="minorEastAsia" w:cstheme="minorBidi"/>
                <w:sz w:val="22"/>
                <w:szCs w:val="22"/>
              </w:rPr>
              <w:t xml:space="preserve"> Wood Primary Academy</w:t>
            </w:r>
          </w:p>
        </w:tc>
      </w:tr>
      <w:tr w:rsidRPr="006875F8" w:rsidR="00E66558" w:rsidTr="77B54B41" w14:paraId="2A7D54BD"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BB"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Number of pupils in school </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B9E9854" w:rsidRDefault="7639400B" w14:paraId="2A7D54BC" w14:textId="0079C705">
            <w:pPr>
              <w:pStyle w:val="TableRow"/>
              <w:rPr>
                <w:rFonts w:ascii="Calibri" w:hAnsi="Calibri" w:eastAsia="" w:cs="" w:asciiTheme="minorAscii" w:hAnsiTheme="minorAscii" w:eastAsiaTheme="minorEastAsia" w:cstheme="minorBidi"/>
                <w:sz w:val="22"/>
                <w:szCs w:val="22"/>
              </w:rPr>
            </w:pPr>
            <w:r w:rsidRPr="77B54B41" w:rsidR="7639400B">
              <w:rPr>
                <w:rFonts w:ascii="Calibri" w:hAnsi="Calibri" w:eastAsia="" w:cs="" w:asciiTheme="minorAscii" w:hAnsiTheme="minorAscii" w:eastAsiaTheme="minorEastAsia" w:cstheme="minorBidi"/>
                <w:sz w:val="22"/>
                <w:szCs w:val="22"/>
              </w:rPr>
              <w:t>4</w:t>
            </w:r>
            <w:r w:rsidRPr="77B54B41" w:rsidR="7AFED30D">
              <w:rPr>
                <w:rFonts w:ascii="Calibri" w:hAnsi="Calibri" w:eastAsia="" w:cs="" w:asciiTheme="minorAscii" w:hAnsiTheme="minorAscii" w:eastAsiaTheme="minorEastAsia" w:cstheme="minorBidi"/>
                <w:sz w:val="22"/>
                <w:szCs w:val="22"/>
              </w:rPr>
              <w:t>18</w:t>
            </w:r>
          </w:p>
        </w:tc>
      </w:tr>
      <w:tr w:rsidRPr="006875F8" w:rsidR="00E66558" w:rsidTr="77B54B41" w14:paraId="2A7D54C0"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BE"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Proportion (%) of pupil premium eligible pupils</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B9E9854" w:rsidRDefault="3255C727" w14:paraId="2A7D54BF" w14:textId="04ECEF29">
            <w:pPr>
              <w:pStyle w:val="TableRow"/>
              <w:spacing w:line="259" w:lineRule="auto"/>
              <w:rPr>
                <w:rFonts w:ascii="Calibri" w:hAnsi="Calibri" w:eastAsia="" w:cs="" w:asciiTheme="minorAscii" w:hAnsiTheme="minorAscii" w:eastAsiaTheme="minorEastAsia" w:cstheme="minorBidi"/>
                <w:sz w:val="22"/>
                <w:szCs w:val="22"/>
              </w:rPr>
            </w:pPr>
            <w:r w:rsidRPr="77B54B41" w:rsidR="1ECC06DA">
              <w:rPr>
                <w:rFonts w:ascii="Calibri" w:hAnsi="Calibri" w:eastAsia="" w:cs="" w:asciiTheme="minorAscii" w:hAnsiTheme="minorAscii" w:eastAsiaTheme="minorEastAsia" w:cstheme="minorBidi"/>
                <w:sz w:val="22"/>
                <w:szCs w:val="22"/>
              </w:rPr>
              <w:t xml:space="preserve">124 pupils </w:t>
            </w:r>
            <w:r w:rsidRPr="77B54B41" w:rsidR="7509CB0D">
              <w:rPr>
                <w:rFonts w:ascii="Calibri" w:hAnsi="Calibri" w:eastAsia="" w:cs="" w:asciiTheme="minorAscii" w:hAnsiTheme="minorAscii" w:eastAsiaTheme="minorEastAsia" w:cstheme="minorBidi"/>
                <w:sz w:val="22"/>
                <w:szCs w:val="22"/>
              </w:rPr>
              <w:t>29.7</w:t>
            </w:r>
            <w:r w:rsidRPr="77B54B41" w:rsidR="7930F973">
              <w:rPr>
                <w:rFonts w:ascii="Calibri" w:hAnsi="Calibri" w:eastAsia="" w:cs="" w:asciiTheme="minorAscii" w:hAnsiTheme="minorAscii" w:eastAsiaTheme="minorEastAsia" w:cstheme="minorBidi"/>
                <w:sz w:val="22"/>
                <w:szCs w:val="22"/>
              </w:rPr>
              <w:t>%</w:t>
            </w:r>
          </w:p>
        </w:tc>
      </w:tr>
      <w:tr w:rsidRPr="006875F8" w:rsidR="00E66558" w:rsidTr="77B54B41" w14:paraId="2A7D54C3"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C1" w14:textId="5410C051">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Academic year/years that our current pupil premium strategy plan covers</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7B54B41" w:rsidRDefault="7BC1272F" w14:paraId="08F34987" w14:textId="49372CE5">
            <w:pPr>
              <w:pStyle w:val="TableRow"/>
              <w:rPr>
                <w:rFonts w:ascii="Calibri" w:hAnsi="Calibri" w:eastAsia="" w:cs="" w:asciiTheme="minorAscii" w:hAnsiTheme="minorAscii" w:eastAsiaTheme="minorEastAsia" w:cstheme="minorBidi"/>
                <w:sz w:val="22"/>
                <w:szCs w:val="22"/>
              </w:rPr>
            </w:pPr>
            <w:r w:rsidRPr="77B54B41" w:rsidR="75477D24">
              <w:rPr>
                <w:rFonts w:ascii="Calibri" w:hAnsi="Calibri" w:eastAsia="" w:cs="" w:asciiTheme="minorAscii" w:hAnsiTheme="minorAscii" w:eastAsiaTheme="minorEastAsia" w:cstheme="minorBidi"/>
                <w:sz w:val="22"/>
                <w:szCs w:val="22"/>
              </w:rPr>
              <w:t>Year</w:t>
            </w:r>
            <w:r w:rsidRPr="77B54B41" w:rsidR="2B7431F5">
              <w:rPr>
                <w:rFonts w:ascii="Calibri" w:hAnsi="Calibri" w:eastAsia="" w:cs="" w:asciiTheme="minorAscii" w:hAnsiTheme="minorAscii" w:eastAsiaTheme="minorEastAsia" w:cstheme="minorBidi"/>
                <w:sz w:val="22"/>
                <w:szCs w:val="22"/>
              </w:rPr>
              <w:t xml:space="preserve"> 2 of 3 – 202</w:t>
            </w:r>
            <w:r w:rsidRPr="77B54B41" w:rsidR="2BEB7966">
              <w:rPr>
                <w:rFonts w:ascii="Calibri" w:hAnsi="Calibri" w:eastAsia="" w:cs="" w:asciiTheme="minorAscii" w:hAnsiTheme="minorAscii" w:eastAsiaTheme="minorEastAsia" w:cstheme="minorBidi"/>
                <w:sz w:val="22"/>
                <w:szCs w:val="22"/>
              </w:rPr>
              <w:t>4</w:t>
            </w:r>
            <w:r w:rsidRPr="77B54B41" w:rsidR="2B7431F5">
              <w:rPr>
                <w:rFonts w:ascii="Calibri" w:hAnsi="Calibri" w:eastAsia="" w:cs="" w:asciiTheme="minorAscii" w:hAnsiTheme="minorAscii" w:eastAsiaTheme="minorEastAsia" w:cstheme="minorBidi"/>
                <w:sz w:val="22"/>
                <w:szCs w:val="22"/>
              </w:rPr>
              <w:t>/24</w:t>
            </w:r>
            <w:r w:rsidRPr="77B54B41" w:rsidR="145D72A5">
              <w:rPr>
                <w:rFonts w:ascii="Calibri" w:hAnsi="Calibri" w:eastAsia="" w:cs="" w:asciiTheme="minorAscii" w:hAnsiTheme="minorAscii" w:eastAsiaTheme="minorEastAsia" w:cstheme="minorBidi"/>
                <w:sz w:val="22"/>
                <w:szCs w:val="22"/>
              </w:rPr>
              <w:t>5</w:t>
            </w:r>
          </w:p>
          <w:p w:rsidRPr="006875F8" w:rsidR="00E66558" w:rsidP="77B54B41" w:rsidRDefault="7BC1272F" w14:paraId="2A7D54C2" w14:textId="0A171D5C">
            <w:pPr>
              <w:pStyle w:val="TableRow"/>
              <w:rPr>
                <w:rFonts w:ascii="Calibri" w:hAnsi="Calibri" w:eastAsia="" w:cs="" w:asciiTheme="minorAscii" w:hAnsiTheme="minorAscii" w:eastAsiaTheme="minorEastAsia" w:cstheme="minorBidi"/>
                <w:sz w:val="22"/>
                <w:szCs w:val="22"/>
              </w:rPr>
            </w:pPr>
            <w:r w:rsidRPr="77B54B41" w:rsidR="2B7431F5">
              <w:rPr>
                <w:rFonts w:ascii="Calibri" w:hAnsi="Calibri" w:eastAsia="" w:cs="" w:asciiTheme="minorAscii" w:hAnsiTheme="minorAscii" w:eastAsiaTheme="minorEastAsia" w:cstheme="minorBidi"/>
                <w:sz w:val="22"/>
                <w:szCs w:val="22"/>
              </w:rPr>
              <w:t>(Full strategy 2023-2026)</w:t>
            </w:r>
          </w:p>
        </w:tc>
      </w:tr>
      <w:tr w:rsidRPr="006875F8" w:rsidR="00E66558" w:rsidTr="77B54B41" w14:paraId="2A7D54C6"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C4"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Date this statement was published</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7B54B41" w:rsidRDefault="037942D1" w14:paraId="2A7D54C5" w14:textId="51314A31">
            <w:pPr>
              <w:pStyle w:val="TableRow"/>
              <w:rPr>
                <w:rFonts w:ascii="Calibri" w:hAnsi="Calibri" w:eastAsia="" w:cs="" w:asciiTheme="minorAscii" w:hAnsiTheme="minorAscii" w:eastAsiaTheme="minorEastAsia" w:cstheme="minorBidi"/>
                <w:sz w:val="22"/>
                <w:szCs w:val="22"/>
              </w:rPr>
            </w:pPr>
            <w:r w:rsidRPr="77B54B41" w:rsidR="037942D1">
              <w:rPr>
                <w:rFonts w:ascii="Calibri" w:hAnsi="Calibri" w:eastAsia="" w:cs="" w:asciiTheme="minorAscii" w:hAnsiTheme="minorAscii" w:eastAsiaTheme="minorEastAsia" w:cstheme="minorBidi"/>
                <w:sz w:val="22"/>
                <w:szCs w:val="22"/>
              </w:rPr>
              <w:t>01.09.2</w:t>
            </w:r>
            <w:r w:rsidRPr="77B54B41" w:rsidR="4DF0F1D6">
              <w:rPr>
                <w:rFonts w:ascii="Calibri" w:hAnsi="Calibri" w:eastAsia="" w:cs="" w:asciiTheme="minorAscii" w:hAnsiTheme="minorAscii" w:eastAsiaTheme="minorEastAsia" w:cstheme="minorBidi"/>
                <w:sz w:val="22"/>
                <w:szCs w:val="22"/>
              </w:rPr>
              <w:t>4</w:t>
            </w:r>
          </w:p>
        </w:tc>
      </w:tr>
      <w:tr w:rsidRPr="006875F8" w:rsidR="00E66558" w:rsidTr="77B54B41" w14:paraId="2A7D54C9"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C7"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Date on which it will be reviewed</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7B54B41" w:rsidRDefault="4F8F6A5F" w14:paraId="2A7D54C8" w14:textId="4CC2B88D">
            <w:pPr>
              <w:pStyle w:val="TableRow"/>
              <w:rPr>
                <w:rFonts w:ascii="Calibri" w:hAnsi="Calibri" w:eastAsia="" w:cs="" w:asciiTheme="minorAscii" w:hAnsiTheme="minorAscii" w:eastAsiaTheme="minorEastAsia" w:cstheme="minorBidi"/>
                <w:sz w:val="22"/>
                <w:szCs w:val="22"/>
              </w:rPr>
            </w:pPr>
            <w:r w:rsidRPr="77B54B41" w:rsidR="4F8F6A5F">
              <w:rPr>
                <w:rFonts w:ascii="Calibri" w:hAnsi="Calibri" w:eastAsia="" w:cs="" w:asciiTheme="minorAscii" w:hAnsiTheme="minorAscii" w:eastAsiaTheme="minorEastAsia" w:cstheme="minorBidi"/>
                <w:sz w:val="22"/>
                <w:szCs w:val="22"/>
              </w:rPr>
              <w:t>01.09.2</w:t>
            </w:r>
            <w:r w:rsidRPr="77B54B41" w:rsidR="7174126D">
              <w:rPr>
                <w:rFonts w:ascii="Calibri" w:hAnsi="Calibri" w:eastAsia="" w:cs="" w:asciiTheme="minorAscii" w:hAnsiTheme="minorAscii" w:eastAsiaTheme="minorEastAsia" w:cstheme="minorBidi"/>
                <w:sz w:val="22"/>
                <w:szCs w:val="22"/>
              </w:rPr>
              <w:t>5</w:t>
            </w:r>
          </w:p>
        </w:tc>
      </w:tr>
      <w:tr w:rsidRPr="006875F8" w:rsidR="00E66558" w:rsidTr="77B54B41" w14:paraId="2A7D54CC"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CA"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Statement authorised by</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7FB3DF22" w14:paraId="2A7D54CB" w14:textId="5AA969BE">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F Burton</w:t>
            </w:r>
          </w:p>
        </w:tc>
      </w:tr>
      <w:tr w:rsidRPr="006875F8" w:rsidR="00E66558" w:rsidTr="77B54B41" w14:paraId="2A7D54CF"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CD"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Pupil premium lead</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7B54B41" w:rsidRDefault="6AF7ECF8" w14:paraId="2A7D54CE" w14:textId="242B206F">
            <w:pPr>
              <w:pStyle w:val="TableRow"/>
              <w:suppressLineNumbers w:val="0"/>
              <w:bidi w:val="0"/>
              <w:spacing w:before="60" w:beforeAutospacing="off" w:after="60" w:afterAutospacing="off" w:line="259" w:lineRule="auto"/>
              <w:ind w:left="57" w:right="57"/>
              <w:jc w:val="left"/>
            </w:pPr>
            <w:r w:rsidRPr="77B54B41" w:rsidR="10C61BE6">
              <w:rPr>
                <w:rFonts w:ascii="Calibri" w:hAnsi="Calibri" w:eastAsia="" w:cs="" w:asciiTheme="minorAscii" w:hAnsiTheme="minorAscii" w:eastAsiaTheme="minorEastAsia" w:cstheme="minorBidi"/>
                <w:sz w:val="22"/>
                <w:szCs w:val="22"/>
              </w:rPr>
              <w:t>C Reade</w:t>
            </w:r>
          </w:p>
        </w:tc>
      </w:tr>
      <w:tr w:rsidRPr="006875F8" w:rsidR="00E66558" w:rsidTr="77B54B41" w14:paraId="2A7D54D2" w14:textId="77777777">
        <w:tc>
          <w:tcPr>
            <w:tcW w:w="57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D0"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Governor / Trustee lead</w:t>
            </w:r>
          </w:p>
        </w:tc>
        <w:tc>
          <w:tcPr>
            <w:tcW w:w="37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20F60E37" w14:paraId="2A7D54D1" w14:textId="6A947F73">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J Bullock</w:t>
            </w:r>
          </w:p>
        </w:tc>
      </w:tr>
    </w:tbl>
    <w:bookmarkEnd w:id="2"/>
    <w:bookmarkEnd w:id="3"/>
    <w:bookmarkEnd w:id="4"/>
    <w:p w:rsidRPr="006875F8" w:rsidR="00E66558" w:rsidP="297BACBC" w:rsidRDefault="009D71E8" w14:paraId="2A7D54D3" w14:textId="77777777">
      <w:pPr>
        <w:shd w:val="clear" w:color="auto" w:fill="808080" w:themeFill="background1" w:themeFillShade="80"/>
        <w:spacing w:before="480" w:line="240" w:lineRule="auto"/>
        <w:rPr>
          <w:rFonts w:asciiTheme="minorHAnsi" w:hAnsiTheme="minorHAnsi" w:eastAsiaTheme="minorEastAsia" w:cstheme="minorBidi"/>
          <w:b/>
          <w:bCs/>
          <w:color w:val="FFFFFF" w:themeColor="background1"/>
        </w:rPr>
      </w:pPr>
      <w:r w:rsidRPr="297BACBC">
        <w:rPr>
          <w:rFonts w:asciiTheme="minorHAnsi" w:hAnsiTheme="minorHAnsi" w:eastAsiaTheme="minorEastAsia" w:cstheme="minorBidi"/>
          <w:b/>
          <w:bCs/>
          <w:color w:val="FFFFFF" w:themeColor="background1"/>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6875F8" w:rsidR="00E66558" w:rsidTr="777AC2D2"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vAlign w:val="center"/>
          </w:tcPr>
          <w:p w:rsidRPr="006875F8" w:rsidR="00E66558" w:rsidP="297BACBC" w:rsidRDefault="009D71E8" w14:paraId="2A7D54D4"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b/>
                <w:bCs/>
                <w:sz w:val="22"/>
                <w:szCs w:val="22"/>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vAlign w:val="center"/>
          </w:tcPr>
          <w:p w:rsidRPr="006875F8" w:rsidR="00E66558" w:rsidP="297BACBC" w:rsidRDefault="009D71E8" w14:paraId="2A7D54D5"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b/>
                <w:bCs/>
                <w:sz w:val="22"/>
                <w:szCs w:val="22"/>
              </w:rPr>
              <w:t>Amount</w:t>
            </w:r>
          </w:p>
        </w:tc>
      </w:tr>
      <w:tr w:rsidRPr="006875F8" w:rsidR="008F1E64" w:rsidTr="777AC2D2"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6875F8" w:rsidR="008F1E64" w:rsidP="297BACBC" w:rsidRDefault="63419EE8" w14:paraId="2A7D54D7"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Pupil premium funding allocation this academic year</w:t>
            </w:r>
          </w:p>
        </w:tc>
        <w:tc>
          <w:tcPr>
            <w:tcW w:w="297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tcPr>
          <w:p w:rsidRPr="006875F8" w:rsidR="008F1E64" w:rsidP="777AC2D2" w:rsidRDefault="255C2B98" w14:paraId="2A7D54D8" w14:textId="130E25F7">
            <w:pPr>
              <w:pStyle w:val="TableRow"/>
              <w:rPr>
                <w:rFonts w:ascii="Calibri" w:hAnsi="Calibri" w:eastAsia="" w:cs="" w:asciiTheme="minorAscii" w:hAnsiTheme="minorAscii" w:eastAsiaTheme="minorEastAsia" w:cstheme="minorBidi"/>
                <w:color w:val="auto"/>
                <w:sz w:val="22"/>
                <w:szCs w:val="22"/>
              </w:rPr>
            </w:pPr>
            <w:r w:rsidRPr="777AC2D2" w:rsidR="61E0AFCF">
              <w:rPr>
                <w:rFonts w:ascii="Calibri" w:hAnsi="Calibri" w:eastAsia="" w:cs="" w:asciiTheme="minorAscii" w:hAnsiTheme="minorAscii" w:eastAsiaTheme="minorEastAsia" w:cstheme="minorBidi"/>
                <w:color w:val="auto"/>
                <w:sz w:val="22"/>
                <w:szCs w:val="22"/>
              </w:rPr>
              <w:t>£13</w:t>
            </w:r>
            <w:r w:rsidRPr="777AC2D2" w:rsidR="79FFBDF5">
              <w:rPr>
                <w:rFonts w:ascii="Calibri" w:hAnsi="Calibri" w:eastAsia="" w:cs="" w:asciiTheme="minorAscii" w:hAnsiTheme="minorAscii" w:eastAsiaTheme="minorEastAsia" w:cstheme="minorBidi"/>
                <w:color w:val="auto"/>
                <w:sz w:val="22"/>
                <w:szCs w:val="22"/>
              </w:rPr>
              <w:t>9,680</w:t>
            </w:r>
          </w:p>
        </w:tc>
      </w:tr>
      <w:tr w:rsidRPr="006875F8" w:rsidR="008F1E64" w:rsidTr="777AC2D2"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6875F8" w:rsidR="008F1E64" w:rsidP="297BACBC" w:rsidRDefault="63419EE8" w14:paraId="2A7D54DA"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Recovery premium funding allocation this academic year</w:t>
            </w:r>
          </w:p>
        </w:tc>
        <w:tc>
          <w:tcPr>
            <w:tcW w:w="297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6875F8" w:rsidR="008F1E64" w:rsidP="77B54B41" w:rsidRDefault="17764C6B" w14:paraId="2A7D54DB" w14:textId="565D2153">
            <w:pPr>
              <w:pStyle w:val="TableRow"/>
              <w:rPr>
                <w:rFonts w:ascii="Calibri" w:hAnsi="Calibri" w:eastAsia="" w:cs="" w:asciiTheme="minorAscii" w:hAnsiTheme="minorAscii" w:eastAsiaTheme="minorEastAsia" w:cstheme="minorBidi"/>
                <w:color w:val="auto"/>
                <w:sz w:val="22"/>
                <w:szCs w:val="22"/>
              </w:rPr>
            </w:pPr>
            <w:r w:rsidRPr="777AC2D2" w:rsidR="20D2DFE7">
              <w:rPr>
                <w:rFonts w:ascii="Calibri" w:hAnsi="Calibri" w:eastAsia="" w:cs="" w:asciiTheme="minorAscii" w:hAnsiTheme="minorAscii" w:eastAsiaTheme="minorEastAsia" w:cstheme="minorBidi"/>
                <w:color w:val="auto"/>
                <w:sz w:val="22"/>
                <w:szCs w:val="22"/>
              </w:rPr>
              <w:t>£</w:t>
            </w:r>
            <w:r w:rsidRPr="777AC2D2" w:rsidR="20D2DFE7">
              <w:rPr>
                <w:rFonts w:ascii="Calibri" w:hAnsi="Calibri" w:eastAsia="" w:cs="" w:asciiTheme="minorAscii" w:hAnsiTheme="minorAscii" w:eastAsiaTheme="minorEastAsia" w:cstheme="minorBidi"/>
                <w:color w:val="auto"/>
                <w:sz w:val="22"/>
                <w:szCs w:val="22"/>
              </w:rPr>
              <w:t>14,500</w:t>
            </w:r>
          </w:p>
        </w:tc>
      </w:tr>
      <w:tr w:rsidRPr="006875F8" w:rsidR="008F1E64" w:rsidTr="777AC2D2"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6875F8" w:rsidR="008F1E64" w:rsidP="297BACBC" w:rsidRDefault="63419EE8" w14:paraId="2A7D54DD"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Pupil premium funding carried forward from previous years (enter £0 if not applicable)</w:t>
            </w:r>
          </w:p>
        </w:tc>
        <w:tc>
          <w:tcPr>
            <w:tcW w:w="297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6875F8" w:rsidR="008F1E64" w:rsidP="777AC2D2" w:rsidRDefault="4B9F2B79" w14:paraId="2A7D54DE" w14:textId="5EEDC174">
            <w:pPr>
              <w:pStyle w:val="TableRow"/>
              <w:rPr>
                <w:rFonts w:ascii="Calibri" w:hAnsi="Calibri" w:eastAsia="" w:cs="" w:asciiTheme="minorAscii" w:hAnsiTheme="minorAscii" w:eastAsiaTheme="minorEastAsia" w:cstheme="minorBidi"/>
                <w:color w:val="auto"/>
                <w:sz w:val="22"/>
                <w:szCs w:val="22"/>
              </w:rPr>
            </w:pPr>
            <w:r w:rsidRPr="777AC2D2" w:rsidR="55D3D764">
              <w:rPr>
                <w:rFonts w:ascii="Calibri" w:hAnsi="Calibri" w:eastAsia="" w:cs="" w:asciiTheme="minorAscii" w:hAnsiTheme="minorAscii" w:eastAsiaTheme="minorEastAsia" w:cstheme="minorBidi"/>
                <w:color w:val="auto"/>
                <w:sz w:val="22"/>
                <w:szCs w:val="22"/>
              </w:rPr>
              <w:t>0</w:t>
            </w:r>
          </w:p>
        </w:tc>
      </w:tr>
      <w:tr w:rsidRPr="006875F8" w:rsidR="008F1E64" w:rsidTr="777AC2D2"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8F1E64" w:rsidP="297BACBC" w:rsidRDefault="63419EE8" w14:paraId="2A7D54E1" w14:textId="05A6ED44">
            <w:pPr>
              <w:pStyle w:val="TableRow"/>
              <w:rPr>
                <w:rFonts w:asciiTheme="minorHAnsi" w:hAnsiTheme="minorHAnsi" w:eastAsiaTheme="minorEastAsia" w:cstheme="minorBidi"/>
                <w:b/>
                <w:bCs/>
                <w:sz w:val="22"/>
                <w:szCs w:val="22"/>
              </w:rPr>
            </w:pPr>
            <w:r w:rsidRPr="297BACBC">
              <w:rPr>
                <w:rFonts w:asciiTheme="minorHAnsi" w:hAnsiTheme="minorHAnsi" w:eastAsiaTheme="minorEastAsia" w:cstheme="minorBidi"/>
                <w:b/>
                <w:bCs/>
                <w:sz w:val="22"/>
                <w:szCs w:val="22"/>
              </w:rPr>
              <w:t>Total budget for this academic year</w:t>
            </w:r>
          </w:p>
        </w:tc>
        <w:tc>
          <w:tcPr>
            <w:tcW w:w="297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6875F8" w:rsidR="008F1E64" w:rsidP="777AC2D2" w:rsidRDefault="61A53910" w14:paraId="651B03A6" w14:textId="5411677D">
            <w:pPr>
              <w:pStyle w:val="TableRow"/>
              <w:rPr>
                <w:rFonts w:ascii="Calibri" w:hAnsi="Calibri" w:eastAsia="" w:cs="" w:asciiTheme="minorAscii" w:hAnsiTheme="minorAscii" w:eastAsiaTheme="minorEastAsia" w:cstheme="minorBidi"/>
                <w:color w:val="auto"/>
                <w:sz w:val="22"/>
                <w:szCs w:val="22"/>
              </w:rPr>
            </w:pPr>
            <w:r w:rsidRPr="777AC2D2" w:rsidR="06E12C3A">
              <w:rPr>
                <w:rFonts w:ascii="Calibri" w:hAnsi="Calibri" w:eastAsia="" w:cs="" w:asciiTheme="minorAscii" w:hAnsiTheme="minorAscii" w:eastAsiaTheme="minorEastAsia" w:cstheme="minorBidi"/>
                <w:color w:val="auto"/>
                <w:sz w:val="22"/>
                <w:szCs w:val="22"/>
              </w:rPr>
              <w:t>£154,180</w:t>
            </w:r>
          </w:p>
          <w:p w:rsidRPr="006875F8" w:rsidR="008F1E64" w:rsidP="777AC2D2" w:rsidRDefault="008F1E64" w14:paraId="2A7D54E2" w14:textId="6B45F180">
            <w:pPr>
              <w:pStyle w:val="TableRow"/>
              <w:ind w:left="0"/>
              <w:rPr>
                <w:rFonts w:ascii="Calibri" w:hAnsi="Calibri" w:eastAsia="" w:cs="" w:asciiTheme="minorAscii" w:hAnsiTheme="minorAscii" w:eastAsiaTheme="minorEastAsia" w:cstheme="minorBidi"/>
                <w:color w:val="auto"/>
                <w:sz w:val="22"/>
                <w:szCs w:val="22"/>
              </w:rPr>
            </w:pPr>
          </w:p>
        </w:tc>
      </w:tr>
    </w:tbl>
    <w:p w:rsidRPr="006875F8" w:rsidR="008B1301" w:rsidP="297BACBC" w:rsidRDefault="00F9B590" w14:paraId="0B7EC00B" w14:textId="239F4BF4">
      <w:pPr>
        <w:pStyle w:val="Heading1"/>
        <w:shd w:val="clear" w:color="auto" w:fill="808080" w:themeFill="background1" w:themeFillShade="80"/>
        <w:rPr>
          <w:rFonts w:asciiTheme="minorHAnsi" w:hAnsiTheme="minorHAnsi" w:eastAsiaTheme="minorEastAsia" w:cstheme="minorBidi"/>
          <w:color w:val="FFFFFF" w:themeColor="background1"/>
          <w:sz w:val="28"/>
          <w:szCs w:val="28"/>
        </w:rPr>
      </w:pPr>
      <w:r w:rsidRPr="30353947">
        <w:rPr>
          <w:rFonts w:asciiTheme="minorHAnsi" w:hAnsiTheme="minorHAnsi" w:eastAsiaTheme="minorEastAsia" w:cstheme="minorBidi"/>
          <w:color w:val="FFFFFF" w:themeColor="background1"/>
          <w:sz w:val="28"/>
          <w:szCs w:val="28"/>
        </w:rPr>
        <w:lastRenderedPageBreak/>
        <w:t>P</w:t>
      </w:r>
      <w:r w:rsidRPr="30353947" w:rsidR="009D71E8">
        <w:rPr>
          <w:rFonts w:asciiTheme="minorHAnsi" w:hAnsiTheme="minorHAnsi" w:eastAsiaTheme="minorEastAsia" w:cstheme="minorBidi"/>
          <w:color w:val="FFFFFF" w:themeColor="background1"/>
          <w:sz w:val="28"/>
          <w:szCs w:val="28"/>
        </w:rPr>
        <w:t>art A: Pupil premium strategy pla</w:t>
      </w:r>
      <w:r w:rsidRPr="30353947" w:rsidR="55EEA5A8">
        <w:rPr>
          <w:rFonts w:asciiTheme="minorHAnsi" w:hAnsiTheme="minorHAnsi" w:eastAsiaTheme="minorEastAsia" w:cstheme="minorBidi"/>
          <w:color w:val="FFFFFF" w:themeColor="background1"/>
          <w:sz w:val="28"/>
          <w:szCs w:val="28"/>
        </w:rPr>
        <w:t>n</w:t>
      </w:r>
      <w:bookmarkStart w:name="_Toc357771640" w:id="14"/>
      <w:bookmarkStart w:name="_Toc346793418" w:id="15"/>
    </w:p>
    <w:p w:rsidRPr="006875F8" w:rsidR="00E66558" w:rsidP="297BACBC" w:rsidRDefault="009D71E8" w14:paraId="2A7D54E5" w14:textId="3CD326A8">
      <w:pPr>
        <w:pStyle w:val="Heading2"/>
        <w:shd w:val="clear" w:color="auto" w:fill="808080" w:themeFill="background1" w:themeFillShade="80"/>
        <w:rPr>
          <w:rFonts w:asciiTheme="minorHAnsi" w:hAnsiTheme="minorHAnsi" w:eastAsiaTheme="minorEastAsia" w:cstheme="minorBidi"/>
          <w:color w:val="FFFFFF" w:themeColor="background1"/>
          <w:sz w:val="24"/>
          <w:szCs w:val="24"/>
        </w:rPr>
      </w:pPr>
      <w:r w:rsidRPr="297BACBC">
        <w:rPr>
          <w:rFonts w:asciiTheme="minorHAnsi" w:hAnsiTheme="minorHAnsi" w:eastAsiaTheme="minorEastAsia" w:cstheme="minorBidi"/>
          <w:color w:val="FFFFFF" w:themeColor="background1"/>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Pr="006875F8" w:rsidR="00E66558" w:rsidTr="297BACBC" w14:paraId="2A7D54EA" w14:textId="77777777">
        <w:trPr>
          <w:trHeight w:val="3000"/>
        </w:trPr>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8F1E64" w:rsidP="297BACBC" w:rsidRDefault="5CA1790C" w14:paraId="2A7D54E9" w14:textId="6325A169">
            <w:pPr>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At </w:t>
            </w:r>
            <w:proofErr w:type="spellStart"/>
            <w:r w:rsidRPr="297BACBC">
              <w:rPr>
                <w:rFonts w:asciiTheme="minorHAnsi" w:hAnsiTheme="minorHAnsi" w:eastAsiaTheme="minorEastAsia" w:cstheme="minorBidi"/>
                <w:sz w:val="22"/>
                <w:szCs w:val="22"/>
              </w:rPr>
              <w:t>Hatchell</w:t>
            </w:r>
            <w:proofErr w:type="spellEnd"/>
            <w:r w:rsidRPr="297BACBC">
              <w:rPr>
                <w:rFonts w:asciiTheme="minorHAnsi" w:hAnsiTheme="minorHAnsi" w:eastAsiaTheme="minorEastAsia" w:cstheme="minorBidi"/>
                <w:sz w:val="22"/>
                <w:szCs w:val="22"/>
              </w:rPr>
              <w:t xml:space="preserve"> Wood Primary Academy, our aim is to ensure that our teaching and learning meets the needs of al</w:t>
            </w:r>
            <w:r w:rsidRPr="297BACBC" w:rsidR="33B65F14">
              <w:rPr>
                <w:rFonts w:asciiTheme="minorHAnsi" w:hAnsiTheme="minorHAnsi" w:eastAsiaTheme="minorEastAsia" w:cstheme="minorBidi"/>
                <w:sz w:val="22"/>
                <w:szCs w:val="22"/>
              </w:rPr>
              <w:t>l</w:t>
            </w:r>
            <w:r w:rsidRPr="297BACBC">
              <w:rPr>
                <w:rFonts w:asciiTheme="minorHAnsi" w:hAnsiTheme="minorHAnsi" w:eastAsiaTheme="minorEastAsia" w:cstheme="minorBidi"/>
                <w:sz w:val="22"/>
                <w:szCs w:val="22"/>
              </w:rPr>
              <w:t xml:space="preserve"> pupils, helping </w:t>
            </w:r>
            <w:r w:rsidRPr="297BACBC" w:rsidR="1D96D14F">
              <w:rPr>
                <w:rFonts w:asciiTheme="minorHAnsi" w:hAnsiTheme="minorHAnsi" w:eastAsiaTheme="minorEastAsia" w:cstheme="minorBidi"/>
                <w:sz w:val="22"/>
                <w:szCs w:val="22"/>
              </w:rPr>
              <w:t xml:space="preserve">them to </w:t>
            </w:r>
            <w:r w:rsidRPr="297BACBC">
              <w:rPr>
                <w:rFonts w:asciiTheme="minorHAnsi" w:hAnsiTheme="minorHAnsi" w:eastAsiaTheme="minorEastAsia" w:cstheme="minorBidi"/>
                <w:sz w:val="22"/>
                <w:szCs w:val="22"/>
              </w:rPr>
              <w:t xml:space="preserve">achieve their individual potential. The Pupil Premium funding enables us, starting with quality first teaching, to ensure that we provide extra provision for </w:t>
            </w:r>
            <w:r w:rsidRPr="297BACBC" w:rsidR="52DC6779">
              <w:rPr>
                <w:rFonts w:asciiTheme="minorHAnsi" w:hAnsiTheme="minorHAnsi" w:eastAsiaTheme="minorEastAsia" w:cstheme="minorBidi"/>
                <w:sz w:val="22"/>
                <w:szCs w:val="22"/>
              </w:rPr>
              <w:t>any</w:t>
            </w:r>
            <w:r w:rsidRPr="297BACBC">
              <w:rPr>
                <w:rFonts w:asciiTheme="minorHAnsi" w:hAnsiTheme="minorHAnsi" w:eastAsiaTheme="minorEastAsia" w:cstheme="minorBidi"/>
                <w:sz w:val="22"/>
                <w:szCs w:val="22"/>
              </w:rPr>
              <w:t xml:space="preserve"> pupils who fall into this group. We diagnostically assess and address their individual needs through challenge and engagement to reach their full potential. This may be academic support in areas where they have </w:t>
            </w:r>
            <w:r w:rsidRPr="297BACBC" w:rsidR="06FBFA64">
              <w:rPr>
                <w:rFonts w:asciiTheme="minorHAnsi" w:hAnsiTheme="minorHAnsi" w:eastAsiaTheme="minorEastAsia" w:cstheme="minorBidi"/>
                <w:sz w:val="22"/>
                <w:szCs w:val="22"/>
              </w:rPr>
              <w:t>gaps in</w:t>
            </w:r>
            <w:r w:rsidRPr="297BACBC">
              <w:rPr>
                <w:rFonts w:asciiTheme="minorHAnsi" w:hAnsiTheme="minorHAnsi" w:eastAsiaTheme="minorEastAsia" w:cstheme="minorBidi"/>
                <w:sz w:val="22"/>
                <w:szCs w:val="22"/>
              </w:rPr>
              <w:t xml:space="preserve"> learning or where learning has not been embedded and so it needs to be revisited and reinforced. We also focus on mental health and wellbeing support so that the children are ready to learn through developing learning skills and resilience or are more able to process difficult events in their life</w:t>
            </w:r>
            <w:r w:rsidRPr="297BACBC" w:rsidR="612E990E">
              <w:rPr>
                <w:rFonts w:asciiTheme="minorHAnsi" w:hAnsiTheme="minorHAnsi" w:eastAsiaTheme="minorEastAsia" w:cstheme="minorBidi"/>
                <w:sz w:val="22"/>
                <w:szCs w:val="22"/>
              </w:rPr>
              <w:t>.</w:t>
            </w:r>
          </w:p>
        </w:tc>
      </w:tr>
    </w:tbl>
    <w:p w:rsidRPr="006875F8" w:rsidR="00E66558" w:rsidP="297BACBC" w:rsidRDefault="009D71E8" w14:paraId="2A7D54EB" w14:textId="77777777">
      <w:pPr>
        <w:pStyle w:val="Heading2"/>
        <w:shd w:val="clear" w:color="auto" w:fill="808080" w:themeFill="background1" w:themeFillShade="80"/>
        <w:spacing w:before="600"/>
        <w:rPr>
          <w:rFonts w:asciiTheme="minorHAnsi" w:hAnsiTheme="minorHAnsi" w:eastAsiaTheme="minorEastAsia" w:cstheme="minorBidi"/>
          <w:color w:val="FFFFFF" w:themeColor="background1"/>
          <w:sz w:val="24"/>
          <w:szCs w:val="24"/>
        </w:rPr>
      </w:pPr>
      <w:r w:rsidRPr="297BACBC">
        <w:rPr>
          <w:rFonts w:asciiTheme="minorHAnsi" w:hAnsiTheme="minorHAnsi" w:eastAsiaTheme="minorEastAsia" w:cstheme="minorBidi"/>
          <w:color w:val="FFFFFF" w:themeColor="background1"/>
          <w:sz w:val="24"/>
          <w:szCs w:val="24"/>
        </w:rPr>
        <w:t>Challenges</w:t>
      </w:r>
    </w:p>
    <w:p w:rsidRPr="006875F8" w:rsidR="00E66558" w:rsidP="297BACBC" w:rsidRDefault="009D71E8" w14:paraId="2A7D54EC" w14:textId="77777777">
      <w:pPr>
        <w:spacing w:before="120" w:line="240" w:lineRule="auto"/>
        <w:textAlignment w:val="baseline"/>
        <w:outlineLvl w:val="0"/>
        <w:rPr>
          <w:rFonts w:asciiTheme="minorHAnsi" w:hAnsiTheme="minorHAnsi" w:eastAsiaTheme="minorEastAsia" w:cstheme="minorBidi"/>
          <w:sz w:val="22"/>
          <w:szCs w:val="22"/>
        </w:rPr>
      </w:pPr>
      <w:r w:rsidRPr="297BACBC">
        <w:rPr>
          <w:rFonts w:asciiTheme="minorHAnsi" w:hAnsiTheme="minorHAnsi" w:eastAsiaTheme="minorEastAsia" w:cstheme="minorBidi"/>
          <w:color w:val="auto"/>
          <w:sz w:val="22"/>
          <w:szCs w:val="22"/>
        </w:rPr>
        <w:t>This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6875F8" w:rsidR="00E66558" w:rsidTr="74930DC9"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4ED"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4EE"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 xml:space="preserve">Detail of challenge </w:t>
            </w:r>
          </w:p>
        </w:tc>
      </w:tr>
      <w:tr w:rsidRPr="006875F8" w:rsidR="00E66558" w:rsidTr="74930DC9"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F0"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82DDB3E" w:rsidRDefault="2942D304" w14:paraId="2A7D54F1" w14:textId="3B3C7CDA">
            <w:pPr>
              <w:pStyle w:val="TableRowCentered"/>
              <w:jc w:val="left"/>
              <w:rPr>
                <w:rFonts w:asciiTheme="minorHAnsi" w:hAnsiTheme="minorHAnsi" w:eastAsiaTheme="minorEastAsia" w:cstheme="minorBidi"/>
                <w:sz w:val="22"/>
                <w:szCs w:val="22"/>
              </w:rPr>
            </w:pPr>
            <w:r w:rsidRPr="74930DC9">
              <w:rPr>
                <w:rFonts w:asciiTheme="minorHAnsi" w:hAnsiTheme="minorHAnsi" w:eastAsiaTheme="minorEastAsia" w:cstheme="minorBidi"/>
                <w:sz w:val="22"/>
                <w:szCs w:val="22"/>
              </w:rPr>
              <w:t>Some pupils are not working at age related level</w:t>
            </w:r>
            <w:r w:rsidRPr="74930DC9" w:rsidR="2EDA237D">
              <w:rPr>
                <w:rFonts w:asciiTheme="minorHAnsi" w:hAnsiTheme="minorHAnsi" w:eastAsiaTheme="minorEastAsia" w:cstheme="minorBidi"/>
                <w:sz w:val="22"/>
                <w:szCs w:val="22"/>
              </w:rPr>
              <w:t>s</w:t>
            </w:r>
            <w:r w:rsidRPr="74930DC9">
              <w:rPr>
                <w:rFonts w:asciiTheme="minorHAnsi" w:hAnsiTheme="minorHAnsi" w:eastAsiaTheme="minorEastAsia" w:cstheme="minorBidi"/>
                <w:sz w:val="22"/>
                <w:szCs w:val="22"/>
              </w:rPr>
              <w:t xml:space="preserve"> and have conceptual gaps or misconceptions. </w:t>
            </w:r>
            <w:r w:rsidRPr="74930DC9" w:rsidR="369AB043">
              <w:rPr>
                <w:rFonts w:asciiTheme="minorHAnsi" w:hAnsiTheme="minorHAnsi" w:eastAsiaTheme="minorEastAsia" w:cstheme="minorBidi"/>
                <w:sz w:val="22"/>
                <w:szCs w:val="22"/>
              </w:rPr>
              <w:t xml:space="preserve"> </w:t>
            </w:r>
          </w:p>
        </w:tc>
      </w:tr>
      <w:tr w:rsidRPr="006875F8" w:rsidR="00E66558" w:rsidTr="74930DC9"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F3"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82DDB3E" w:rsidRDefault="7BA30869" w14:paraId="2A7D54F4" w14:textId="128D73E5">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Some children have l</w:t>
            </w:r>
            <w:r w:rsidRPr="297BACBC" w:rsidR="7F618B08">
              <w:rPr>
                <w:rFonts w:asciiTheme="minorHAnsi" w:hAnsiTheme="minorHAnsi" w:eastAsiaTheme="minorEastAsia" w:cstheme="minorBidi"/>
                <w:sz w:val="22"/>
                <w:szCs w:val="22"/>
              </w:rPr>
              <w:t>imited speech and language and/or vocabulary skills.  Assessments, observations and discussions evidence this.</w:t>
            </w:r>
          </w:p>
        </w:tc>
      </w:tr>
      <w:tr w:rsidRPr="006875F8" w:rsidR="00E66558" w:rsidTr="74930DC9"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F6"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82DDB3E" w:rsidRDefault="2068416F" w14:paraId="2A7D54F7" w14:textId="2A796462">
            <w:pPr>
              <w:pStyle w:val="TableRowCentered"/>
              <w:jc w:val="left"/>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Some p</w:t>
            </w:r>
            <w:r w:rsidRPr="297BACBC" w:rsidR="01A4F89C">
              <w:rPr>
                <w:rFonts w:asciiTheme="minorHAnsi" w:hAnsiTheme="minorHAnsi" w:eastAsiaTheme="minorEastAsia" w:cstheme="minorBidi"/>
                <w:color w:val="000000" w:themeColor="text1"/>
                <w:sz w:val="22"/>
                <w:szCs w:val="22"/>
              </w:rPr>
              <w:t xml:space="preserve">upils need to develop their </w:t>
            </w:r>
            <w:r w:rsidRPr="297BACBC" w:rsidR="600985A8">
              <w:rPr>
                <w:rFonts w:asciiTheme="minorHAnsi" w:hAnsiTheme="minorHAnsi" w:eastAsiaTheme="minorEastAsia" w:cstheme="minorBidi"/>
                <w:color w:val="000000" w:themeColor="text1"/>
                <w:sz w:val="22"/>
                <w:szCs w:val="22"/>
              </w:rPr>
              <w:t>skills for learning</w:t>
            </w:r>
            <w:r w:rsidRPr="297BACBC" w:rsidR="01A4F89C">
              <w:rPr>
                <w:rFonts w:asciiTheme="minorHAnsi" w:hAnsiTheme="minorHAnsi" w:eastAsiaTheme="minorEastAsia" w:cstheme="minorBidi"/>
                <w:color w:val="000000" w:themeColor="text1"/>
                <w:sz w:val="22"/>
                <w:szCs w:val="22"/>
              </w:rPr>
              <w:t xml:space="preserve">, including </w:t>
            </w:r>
            <w:r w:rsidRPr="297BACBC" w:rsidR="5828CCBD">
              <w:rPr>
                <w:rFonts w:asciiTheme="minorHAnsi" w:hAnsiTheme="minorHAnsi" w:eastAsiaTheme="minorEastAsia" w:cstheme="minorBidi"/>
                <w:color w:val="000000" w:themeColor="text1"/>
                <w:sz w:val="22"/>
                <w:szCs w:val="22"/>
              </w:rPr>
              <w:t xml:space="preserve">resilience, </w:t>
            </w:r>
            <w:r w:rsidRPr="297BACBC" w:rsidR="6D659037">
              <w:rPr>
                <w:rFonts w:asciiTheme="minorHAnsi" w:hAnsiTheme="minorHAnsi" w:eastAsiaTheme="minorEastAsia" w:cstheme="minorBidi"/>
                <w:color w:val="000000" w:themeColor="text1"/>
                <w:sz w:val="22"/>
                <w:szCs w:val="22"/>
              </w:rPr>
              <w:t>retrieval</w:t>
            </w:r>
            <w:r w:rsidRPr="297BACBC" w:rsidR="09C5E23E">
              <w:rPr>
                <w:rFonts w:asciiTheme="minorHAnsi" w:hAnsiTheme="minorHAnsi" w:eastAsiaTheme="minorEastAsia" w:cstheme="minorBidi"/>
                <w:color w:val="000000" w:themeColor="text1"/>
                <w:sz w:val="22"/>
                <w:szCs w:val="22"/>
              </w:rPr>
              <w:t>,</w:t>
            </w:r>
            <w:r w:rsidRPr="297BACBC" w:rsidR="292A638F">
              <w:rPr>
                <w:rFonts w:asciiTheme="minorHAnsi" w:hAnsiTheme="minorHAnsi" w:eastAsiaTheme="minorEastAsia" w:cstheme="minorBidi"/>
                <w:color w:val="000000" w:themeColor="text1"/>
                <w:sz w:val="22"/>
                <w:szCs w:val="22"/>
              </w:rPr>
              <w:t xml:space="preserve"> </w:t>
            </w:r>
            <w:r w:rsidRPr="297BACBC" w:rsidR="4F2CA0E2">
              <w:rPr>
                <w:rFonts w:asciiTheme="minorHAnsi" w:hAnsiTheme="minorHAnsi" w:eastAsiaTheme="minorEastAsia" w:cstheme="minorBidi"/>
                <w:color w:val="000000" w:themeColor="text1"/>
                <w:sz w:val="22"/>
                <w:szCs w:val="22"/>
              </w:rPr>
              <w:t>self-regulation</w:t>
            </w:r>
            <w:r w:rsidRPr="297BACBC" w:rsidR="010127ED">
              <w:rPr>
                <w:rFonts w:asciiTheme="minorHAnsi" w:hAnsiTheme="minorHAnsi" w:eastAsiaTheme="minorEastAsia" w:cstheme="minorBidi"/>
                <w:color w:val="000000" w:themeColor="text1"/>
                <w:sz w:val="22"/>
                <w:szCs w:val="22"/>
              </w:rPr>
              <w:t xml:space="preserve"> and independence</w:t>
            </w:r>
            <w:r w:rsidRPr="297BACBC" w:rsidR="2DE09A6B">
              <w:rPr>
                <w:rFonts w:asciiTheme="minorHAnsi" w:hAnsiTheme="minorHAnsi" w:eastAsiaTheme="minorEastAsia" w:cstheme="minorBidi"/>
                <w:color w:val="000000" w:themeColor="text1"/>
                <w:sz w:val="22"/>
                <w:szCs w:val="22"/>
              </w:rPr>
              <w:t>.</w:t>
            </w:r>
          </w:p>
        </w:tc>
      </w:tr>
      <w:tr w:rsidRPr="006875F8" w:rsidR="00E66558" w:rsidTr="74930DC9"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F9" w14:textId="77777777">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82DDB3E" w:rsidRDefault="7C3ACF15" w14:paraId="2A7D54FA" w14:textId="56075E58">
            <w:pPr>
              <w:pStyle w:val="TableRowCentered"/>
              <w:jc w:val="left"/>
              <w:rPr>
                <w:rFonts w:asciiTheme="minorHAnsi" w:hAnsiTheme="minorHAnsi" w:eastAsiaTheme="minorEastAsia" w:cstheme="minorBidi"/>
                <w:sz w:val="22"/>
                <w:szCs w:val="22"/>
              </w:rPr>
            </w:pPr>
            <w:r w:rsidRPr="30353947">
              <w:rPr>
                <w:rFonts w:asciiTheme="minorHAnsi" w:hAnsiTheme="minorHAnsi" w:eastAsiaTheme="minorEastAsia" w:cstheme="minorBidi"/>
                <w:sz w:val="22"/>
                <w:szCs w:val="22"/>
              </w:rPr>
              <w:t>C</w:t>
            </w:r>
            <w:r w:rsidRPr="30353947" w:rsidR="36BE86B8">
              <w:rPr>
                <w:rFonts w:asciiTheme="minorHAnsi" w:hAnsiTheme="minorHAnsi" w:eastAsiaTheme="minorEastAsia" w:cstheme="minorBidi"/>
                <w:sz w:val="22"/>
                <w:szCs w:val="22"/>
              </w:rPr>
              <w:t>onsistent attendance and punctuality</w:t>
            </w:r>
            <w:r w:rsidRPr="30353947" w:rsidR="6D5282CF">
              <w:rPr>
                <w:rFonts w:asciiTheme="minorHAnsi" w:hAnsiTheme="minorHAnsi" w:eastAsiaTheme="minorEastAsia" w:cstheme="minorBidi"/>
                <w:sz w:val="22"/>
                <w:szCs w:val="22"/>
              </w:rPr>
              <w:t xml:space="preserve"> is a key priority for all children</w:t>
            </w:r>
            <w:r w:rsidRPr="30353947" w:rsidR="36BE86B8">
              <w:rPr>
                <w:rFonts w:asciiTheme="minorHAnsi" w:hAnsiTheme="minorHAnsi" w:eastAsiaTheme="minorEastAsia" w:cstheme="minorBidi"/>
                <w:sz w:val="22"/>
                <w:szCs w:val="22"/>
              </w:rPr>
              <w:t xml:space="preserve">. Persistent absence for PP children is </w:t>
            </w:r>
            <w:r w:rsidRPr="30353947" w:rsidR="7D991776">
              <w:rPr>
                <w:rFonts w:asciiTheme="minorHAnsi" w:hAnsiTheme="minorHAnsi" w:eastAsiaTheme="minorEastAsia" w:cstheme="minorBidi"/>
                <w:sz w:val="22"/>
                <w:szCs w:val="22"/>
              </w:rPr>
              <w:t>13.35%</w:t>
            </w:r>
            <w:r w:rsidRPr="30353947" w:rsidR="36BE86B8">
              <w:rPr>
                <w:rFonts w:asciiTheme="minorHAnsi" w:hAnsiTheme="minorHAnsi" w:eastAsiaTheme="minorEastAsia" w:cstheme="minorBidi"/>
                <w:sz w:val="22"/>
                <w:szCs w:val="22"/>
              </w:rPr>
              <w:t xml:space="preserve"> higher than non pp children</w:t>
            </w:r>
          </w:p>
        </w:tc>
      </w:tr>
      <w:tr w:rsidRPr="006875F8" w:rsidR="00E66558" w:rsidTr="74930DC9"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9D71E8" w14:paraId="2A7D54FC" w14:textId="77777777">
            <w:pPr>
              <w:pStyle w:val="TableRow"/>
              <w:rPr>
                <w:rFonts w:asciiTheme="minorHAnsi" w:hAnsiTheme="minorHAnsi" w:eastAsiaTheme="minorEastAsia" w:cstheme="minorBidi"/>
                <w:sz w:val="22"/>
                <w:szCs w:val="22"/>
              </w:rPr>
            </w:pPr>
            <w:bookmarkStart w:name="_Toc443397160" w:id="16"/>
            <w:r w:rsidRPr="297BACBC">
              <w:rPr>
                <w:rFonts w:asciiTheme="minorHAnsi" w:hAnsiTheme="minorHAnsi" w:eastAsiaTheme="minorEastAsia" w:cstheme="minorBidi"/>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182DDB3E" w:rsidRDefault="3596C775" w14:paraId="2A7D54FD" w14:textId="7F8D96B0">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Some children have limited life experiences </w:t>
            </w:r>
            <w:r w:rsidRPr="297BACBC" w:rsidR="30201D30">
              <w:rPr>
                <w:rFonts w:asciiTheme="minorHAnsi" w:hAnsiTheme="minorHAnsi" w:eastAsiaTheme="minorEastAsia" w:cstheme="minorBidi"/>
                <w:sz w:val="22"/>
                <w:szCs w:val="22"/>
              </w:rPr>
              <w:t xml:space="preserve">no </w:t>
            </w:r>
            <w:r w:rsidRPr="297BACBC">
              <w:rPr>
                <w:rFonts w:asciiTheme="minorHAnsi" w:hAnsiTheme="minorHAnsi" w:eastAsiaTheme="minorEastAsia" w:cstheme="minorBidi"/>
                <w:sz w:val="22"/>
                <w:szCs w:val="22"/>
              </w:rPr>
              <w:t xml:space="preserve">wider than their home and community network. </w:t>
            </w:r>
            <w:r w:rsidRPr="297BACBC" w:rsidR="2FEEB77E">
              <w:rPr>
                <w:rFonts w:asciiTheme="minorHAnsi" w:hAnsiTheme="minorHAnsi" w:eastAsiaTheme="minorEastAsia" w:cstheme="minorBidi"/>
                <w:sz w:val="22"/>
                <w:szCs w:val="22"/>
              </w:rPr>
              <w:t>We n</w:t>
            </w:r>
            <w:r w:rsidRPr="297BACBC" w:rsidR="457C2715">
              <w:rPr>
                <w:rFonts w:asciiTheme="minorHAnsi" w:hAnsiTheme="minorHAnsi" w:eastAsiaTheme="minorEastAsia" w:cstheme="minorBidi"/>
                <w:sz w:val="22"/>
                <w:szCs w:val="22"/>
              </w:rPr>
              <w:t xml:space="preserve">eed to develop enrichment </w:t>
            </w:r>
            <w:r w:rsidRPr="297BACBC" w:rsidR="77AD5343">
              <w:rPr>
                <w:rFonts w:asciiTheme="minorHAnsi" w:hAnsiTheme="minorHAnsi" w:eastAsiaTheme="minorEastAsia" w:cstheme="minorBidi"/>
                <w:sz w:val="22"/>
                <w:szCs w:val="22"/>
              </w:rPr>
              <w:t>opportunities and ensure these are accessible to all</w:t>
            </w:r>
            <w:r w:rsidRPr="297BACBC" w:rsidR="0F728FC9">
              <w:rPr>
                <w:rFonts w:asciiTheme="minorHAnsi" w:hAnsiTheme="minorHAnsi" w:eastAsiaTheme="minorEastAsia" w:cstheme="minorBidi"/>
                <w:sz w:val="22"/>
                <w:szCs w:val="22"/>
              </w:rPr>
              <w:t xml:space="preserve">. </w:t>
            </w:r>
            <w:r w:rsidRPr="297BACBC" w:rsidR="457C2715">
              <w:rPr>
                <w:rFonts w:asciiTheme="minorHAnsi" w:hAnsiTheme="minorHAnsi" w:eastAsiaTheme="minorEastAsia" w:cstheme="minorBidi"/>
                <w:sz w:val="22"/>
                <w:szCs w:val="22"/>
              </w:rPr>
              <w:t>This has been evidenced by Thrive screening and observations/discussions with pupils</w:t>
            </w:r>
            <w:r w:rsidRPr="297BACBC" w:rsidR="4700C252">
              <w:rPr>
                <w:rFonts w:asciiTheme="minorHAnsi" w:hAnsiTheme="minorHAnsi" w:eastAsiaTheme="minorEastAsia" w:cstheme="minorBidi"/>
                <w:sz w:val="22"/>
                <w:szCs w:val="22"/>
              </w:rPr>
              <w:t>.</w:t>
            </w:r>
          </w:p>
        </w:tc>
      </w:tr>
      <w:tr w:rsidR="182DDB3E" w:rsidTr="74930DC9" w14:paraId="4FBC11B0" w14:textId="77777777">
        <w:trPr>
          <w:trHeight w:val="30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EC50261" w:rsidP="297BACBC" w:rsidRDefault="6EC50261" w14:paraId="20B5A7A2" w14:textId="40848BB3">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BF12C95" w:rsidP="182DDB3E" w:rsidRDefault="1BF12C95" w14:paraId="6238FF96" w14:textId="0E5E9CFE">
            <w:pPr>
              <w:pStyle w:val="TableRowCentered"/>
              <w:jc w:val="left"/>
              <w:rPr>
                <w:rFonts w:asciiTheme="minorHAnsi" w:hAnsiTheme="minorHAnsi" w:eastAsiaTheme="minorEastAsia" w:cstheme="minorBidi"/>
                <w:sz w:val="22"/>
                <w:szCs w:val="22"/>
              </w:rPr>
            </w:pPr>
            <w:r w:rsidRPr="182DDB3E">
              <w:rPr>
                <w:rFonts w:asciiTheme="minorHAnsi" w:hAnsiTheme="minorHAnsi" w:eastAsiaTheme="minorEastAsia" w:cstheme="minorBidi"/>
                <w:sz w:val="22"/>
                <w:szCs w:val="22"/>
              </w:rPr>
              <w:t>A positive working relationship between school and families is crucial to supporting a child’s all round development;</w:t>
            </w:r>
            <w:r w:rsidRPr="182DDB3E" w:rsidR="6CC170AE">
              <w:rPr>
                <w:rFonts w:asciiTheme="minorHAnsi" w:hAnsiTheme="minorHAnsi" w:eastAsiaTheme="minorEastAsia" w:cstheme="minorBidi"/>
                <w:sz w:val="22"/>
                <w:szCs w:val="22"/>
              </w:rPr>
              <w:t xml:space="preserve"> further development of relationships with families would help us to </w:t>
            </w:r>
            <w:r w:rsidRPr="182DDB3E" w:rsidR="12D46094">
              <w:rPr>
                <w:rFonts w:asciiTheme="minorHAnsi" w:hAnsiTheme="minorHAnsi" w:eastAsiaTheme="minorEastAsia" w:cstheme="minorBidi"/>
                <w:sz w:val="22"/>
                <w:szCs w:val="22"/>
              </w:rPr>
              <w:t>close the gap in learning</w:t>
            </w:r>
          </w:p>
        </w:tc>
      </w:tr>
    </w:tbl>
    <w:p w:rsidRPr="006875F8" w:rsidR="00E66558" w:rsidP="297BACBC" w:rsidRDefault="009D71E8" w14:paraId="2A7D54FF" w14:textId="20DB55D1">
      <w:pPr>
        <w:pStyle w:val="Heading2"/>
        <w:shd w:val="clear" w:color="auto" w:fill="808080" w:themeFill="background1" w:themeFillShade="80"/>
        <w:spacing w:before="600"/>
        <w:rPr>
          <w:rFonts w:asciiTheme="minorHAnsi" w:hAnsiTheme="minorHAnsi" w:eastAsiaTheme="minorEastAsia" w:cstheme="minorBidi"/>
          <w:color w:val="FFFFFF" w:themeColor="background1"/>
          <w:sz w:val="24"/>
          <w:szCs w:val="24"/>
        </w:rPr>
      </w:pPr>
      <w:r w:rsidRPr="297BACBC">
        <w:rPr>
          <w:rFonts w:asciiTheme="minorHAnsi" w:hAnsiTheme="minorHAnsi" w:eastAsiaTheme="minorEastAsia" w:cstheme="minorBidi"/>
          <w:color w:val="FFFFFF" w:themeColor="background1"/>
          <w:sz w:val="24"/>
          <w:szCs w:val="24"/>
        </w:rPr>
        <w:lastRenderedPageBreak/>
        <w:t xml:space="preserve">Intended outcomes </w:t>
      </w:r>
    </w:p>
    <w:p w:rsidRPr="006875F8" w:rsidR="00E66558" w:rsidP="297BACBC" w:rsidRDefault="009D71E8" w14:paraId="2A7D5500" w14:textId="77777777">
      <w:pPr>
        <w:rPr>
          <w:rFonts w:asciiTheme="minorHAnsi" w:hAnsiTheme="minorHAnsi" w:eastAsiaTheme="minorEastAsia" w:cstheme="minorBidi"/>
          <w:sz w:val="22"/>
          <w:szCs w:val="22"/>
        </w:rPr>
      </w:pPr>
      <w:r w:rsidRPr="297BACBC">
        <w:rPr>
          <w:rFonts w:asciiTheme="minorHAnsi" w:hAnsiTheme="minorHAnsi" w:eastAsiaTheme="minorEastAsia" w:cstheme="minorBidi"/>
          <w:color w:val="auto"/>
          <w:sz w:val="22"/>
          <w:szCs w:val="22"/>
        </w:rPr>
        <w:t xml:space="preserve">This explains the outcomes we are aiming for </w:t>
      </w:r>
      <w:r w:rsidRPr="297BACBC">
        <w:rPr>
          <w:rFonts w:asciiTheme="minorHAnsi" w:hAnsiTheme="minorHAnsi" w:eastAsiaTheme="minorEastAsia" w:cstheme="minorBidi"/>
          <w:b/>
          <w:bCs/>
          <w:color w:val="auto"/>
          <w:sz w:val="22"/>
          <w:szCs w:val="22"/>
        </w:rPr>
        <w:t>by the end of our current strategy plan</w:t>
      </w:r>
      <w:r w:rsidRPr="297BACBC">
        <w:rPr>
          <w:rFonts w:asciiTheme="minorHAnsi" w:hAnsiTheme="minorHAnsi" w:eastAsiaTheme="minorEastAsia" w:cstheme="minorBid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Pr="006875F8" w:rsidR="00E66558" w:rsidTr="297BACBC"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01"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02"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Success criteria</w:t>
            </w:r>
          </w:p>
        </w:tc>
      </w:tr>
      <w:tr w:rsidRPr="006875F8" w:rsidR="00E66558" w:rsidTr="297BACBC"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1720046F" w14:paraId="2A7D5504" w14:textId="2C7642E8">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Improved attainment fo</w:t>
            </w:r>
            <w:r w:rsidRPr="297BACBC" w:rsidR="4503FDB2">
              <w:rPr>
                <w:rFonts w:asciiTheme="minorHAnsi" w:hAnsiTheme="minorHAnsi" w:eastAsiaTheme="minorEastAsia" w:cstheme="minorBidi"/>
                <w:sz w:val="22"/>
                <w:szCs w:val="22"/>
              </w:rPr>
              <w:t xml:space="preserve">r disadvantaged pupils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4503FDB2" w14:paraId="2A7D5505" w14:textId="2DDD78D5">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Achieve above national average progress scores in </w:t>
            </w:r>
            <w:r w:rsidRPr="297BACBC" w:rsidR="389A02FA">
              <w:rPr>
                <w:rFonts w:asciiTheme="minorHAnsi" w:hAnsiTheme="minorHAnsi" w:eastAsiaTheme="minorEastAsia" w:cstheme="minorBidi"/>
                <w:sz w:val="22"/>
                <w:szCs w:val="22"/>
              </w:rPr>
              <w:t>combined KS2 data</w:t>
            </w:r>
          </w:p>
        </w:tc>
      </w:tr>
      <w:tr w:rsidRPr="006875F8" w:rsidR="00E66558" w:rsidTr="297BACBC"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2D7D52FC" w14:paraId="2A7D5507" w14:textId="2F9B4ADC">
            <w:pPr>
              <w:pStyle w:val="TableRow"/>
              <w:ind w:left="0"/>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Improved vocabulary, language and </w:t>
            </w:r>
            <w:proofErr w:type="spellStart"/>
            <w:r w:rsidRPr="297BACBC">
              <w:rPr>
                <w:rFonts w:asciiTheme="minorHAnsi" w:hAnsiTheme="minorHAnsi" w:eastAsiaTheme="minorEastAsia" w:cstheme="minorBidi"/>
                <w:sz w:val="22"/>
                <w:szCs w:val="22"/>
              </w:rPr>
              <w:t>oracy</w:t>
            </w:r>
            <w:proofErr w:type="spellEnd"/>
            <w:r w:rsidRPr="297BACBC">
              <w:rPr>
                <w:rFonts w:asciiTheme="minorHAnsi" w:hAnsiTheme="minorHAnsi" w:eastAsiaTheme="minorEastAsia" w:cstheme="minorBidi"/>
                <w:sz w:val="22"/>
                <w:szCs w:val="22"/>
              </w:rPr>
              <w:t xml:space="preserve"> skills that impact on reading and writing progress across all year groups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6BA7D852" w14:paraId="47A36A7C" w14:textId="2224A38C">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Improved outcomes in Year 1 and end of Year 2 phonics te</w:t>
            </w:r>
            <w:r w:rsidRPr="297BACBC" w:rsidR="18606389">
              <w:rPr>
                <w:rFonts w:asciiTheme="minorHAnsi" w:hAnsiTheme="minorHAnsi" w:eastAsiaTheme="minorEastAsia" w:cstheme="minorBidi"/>
                <w:sz w:val="22"/>
                <w:szCs w:val="22"/>
              </w:rPr>
              <w:t>s</w:t>
            </w:r>
            <w:r w:rsidRPr="297BACBC">
              <w:rPr>
                <w:rFonts w:asciiTheme="minorHAnsi" w:hAnsiTheme="minorHAnsi" w:eastAsiaTheme="minorEastAsia" w:cstheme="minorBidi"/>
                <w:sz w:val="22"/>
                <w:szCs w:val="22"/>
              </w:rPr>
              <w:t>ting for all pupils</w:t>
            </w:r>
          </w:p>
          <w:p w:rsidRPr="006875F8" w:rsidR="00E66558" w:rsidP="297BACBC" w:rsidRDefault="6BA7D852" w14:paraId="2A7D5508" w14:textId="7F24CE6C">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Decrease in the number of pupils accessing phonics interventions</w:t>
            </w:r>
          </w:p>
        </w:tc>
      </w:tr>
      <w:tr w:rsidRPr="006875F8" w:rsidR="00E66558" w:rsidTr="297BACBC"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774F5A35" w14:paraId="2A7D550A" w14:textId="20016144">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To improve</w:t>
            </w:r>
            <w:r w:rsidRPr="297BACBC" w:rsidR="683A3942">
              <w:rPr>
                <w:rFonts w:asciiTheme="minorHAnsi" w:hAnsiTheme="minorHAnsi" w:eastAsiaTheme="minorEastAsia" w:cstheme="minorBidi"/>
                <w:sz w:val="22"/>
                <w:szCs w:val="22"/>
              </w:rPr>
              <w:t xml:space="preserve"> skills for learning</w:t>
            </w:r>
            <w:r w:rsidRPr="297BACBC">
              <w:rPr>
                <w:rFonts w:asciiTheme="minorHAnsi" w:hAnsiTheme="minorHAnsi" w:eastAsiaTheme="minorEastAsia" w:cstheme="minorBidi"/>
                <w:sz w:val="22"/>
                <w:szCs w:val="22"/>
              </w:rPr>
              <w:t xml:space="preserve"> for all pupils in our school particularly our disadvantaged and vulnerable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A67A44" w:rsidP="297BACBC" w:rsidRDefault="75F1E48A" w14:paraId="2A7D550B" w14:textId="5893AA2F">
            <w:pPr>
              <w:pStyle w:val="TableRowCentered"/>
              <w:ind w:left="0"/>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Thrive screening shows an improvement in children’s social and emotional health on an individual, class and school measures</w:t>
            </w:r>
          </w:p>
        </w:tc>
      </w:tr>
      <w:tr w:rsidRPr="006875F8" w:rsidR="00E66558" w:rsidTr="297BACBC"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7E47DF97" w14:paraId="2A7D550D" w14:textId="3D6EDBBA">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To improve the attendance of pupil premium pupils with an increased understanding of the importance of attendance specific focus on persistent absence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1BD43266" w14:paraId="2A7D550E" w14:textId="63694304">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Attendance at or above 96% for all groups of pupils and to see a decrease in PA figures</w:t>
            </w:r>
          </w:p>
        </w:tc>
      </w:tr>
      <w:tr w:rsidRPr="006875F8" w:rsidR="004974DC" w:rsidTr="297BACBC" w14:paraId="03F60DC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4974DC" w:rsidP="297BACBC" w:rsidRDefault="6BA056C9" w14:paraId="0AA9BA4E" w14:textId="68952B19">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To improve engagement </w:t>
            </w:r>
            <w:r w:rsidRPr="297BACBC" w:rsidR="6B7FE3E8">
              <w:rPr>
                <w:rFonts w:asciiTheme="minorHAnsi" w:hAnsiTheme="minorHAnsi" w:eastAsiaTheme="minorEastAsia" w:cstheme="minorBidi"/>
                <w:sz w:val="22"/>
                <w:szCs w:val="22"/>
              </w:rPr>
              <w:t xml:space="preserve">with families </w:t>
            </w:r>
            <w:r w:rsidRPr="297BACBC">
              <w:rPr>
                <w:rFonts w:asciiTheme="minorHAnsi" w:hAnsiTheme="minorHAnsi" w:eastAsiaTheme="minorEastAsia" w:cstheme="minorBidi"/>
                <w:sz w:val="22"/>
                <w:szCs w:val="22"/>
              </w:rPr>
              <w:t xml:space="preserve">of all pupils </w:t>
            </w:r>
            <w:r w:rsidRPr="297BACBC" w:rsidR="68C1FC43">
              <w:rPr>
                <w:rFonts w:asciiTheme="minorHAnsi" w:hAnsiTheme="minorHAnsi" w:eastAsiaTheme="minorEastAsia" w:cstheme="minorBidi"/>
                <w:sz w:val="22"/>
                <w:szCs w:val="22"/>
              </w:rPr>
              <w:t xml:space="preserve">and increase participation </w:t>
            </w:r>
            <w:r w:rsidRPr="297BACBC">
              <w:rPr>
                <w:rFonts w:asciiTheme="minorHAnsi" w:hAnsiTheme="minorHAnsi" w:eastAsiaTheme="minorEastAsia" w:cstheme="minorBidi"/>
                <w:sz w:val="22"/>
                <w:szCs w:val="22"/>
              </w:rPr>
              <w:t>in wider curriculum and enrichment opportunities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4974DC" w:rsidP="297BACBC" w:rsidRDefault="1483EB1C" w14:paraId="2C5CECD2" w14:textId="1D4FD52D">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Improved attendance for disadvantaged pupils at clubs/trips/visits</w:t>
            </w:r>
          </w:p>
        </w:tc>
      </w:tr>
    </w:tbl>
    <w:p w:rsidR="00A334F2" w:rsidP="297BACBC" w:rsidRDefault="00A334F2" w14:paraId="2BEFBACE" w14:textId="77777777">
      <w:pPr>
        <w:suppressAutoHyphens w:val="0"/>
        <w:spacing w:after="0" w:line="240" w:lineRule="auto"/>
        <w:rPr>
          <w:rFonts w:asciiTheme="minorHAnsi" w:hAnsiTheme="minorHAnsi" w:eastAsiaTheme="minorEastAsia" w:cstheme="minorBidi"/>
          <w:color w:val="FFFFFF" w:themeColor="background1"/>
          <w:sz w:val="20"/>
          <w:szCs w:val="20"/>
        </w:rPr>
      </w:pPr>
    </w:p>
    <w:p w:rsidR="182DDB3E" w:rsidP="297BACBC" w:rsidRDefault="182DDB3E" w14:paraId="252019B1" w14:textId="72E4E9D8">
      <w:pPr>
        <w:spacing w:after="0" w:line="240" w:lineRule="auto"/>
        <w:rPr>
          <w:rFonts w:asciiTheme="minorHAnsi" w:hAnsiTheme="minorHAnsi" w:eastAsiaTheme="minorEastAsia" w:cstheme="minorBidi"/>
          <w:color w:val="FFFFFF" w:themeColor="background1"/>
          <w:sz w:val="20"/>
          <w:szCs w:val="20"/>
        </w:rPr>
      </w:pPr>
    </w:p>
    <w:p w:rsidR="182DDB3E" w:rsidP="297BACBC" w:rsidRDefault="182DDB3E" w14:paraId="7B3401B9" w14:textId="055CB4F5">
      <w:pPr>
        <w:spacing w:after="0" w:line="240" w:lineRule="auto"/>
        <w:rPr>
          <w:rFonts w:asciiTheme="minorHAnsi" w:hAnsiTheme="minorHAnsi" w:eastAsiaTheme="minorEastAsia" w:cstheme="minorBidi"/>
          <w:color w:val="FFFFFF" w:themeColor="background1"/>
          <w:sz w:val="20"/>
          <w:szCs w:val="20"/>
        </w:rPr>
      </w:pPr>
    </w:p>
    <w:p w:rsidRPr="00A334F2" w:rsidR="00E66558" w:rsidP="297BACBC" w:rsidRDefault="009D71E8" w14:paraId="2A7D5514" w14:textId="43D78515">
      <w:pPr>
        <w:shd w:val="clear" w:color="auto" w:fill="808080" w:themeFill="background1" w:themeFillShade="80"/>
        <w:suppressAutoHyphens w:val="0"/>
        <w:spacing w:after="0" w:line="240" w:lineRule="auto"/>
        <w:rPr>
          <w:rFonts w:asciiTheme="minorHAnsi" w:hAnsiTheme="minorHAnsi" w:eastAsiaTheme="minorEastAsia" w:cstheme="minorBidi"/>
          <w:color w:val="FFFFFF" w:themeColor="background1"/>
        </w:rPr>
      </w:pPr>
      <w:r w:rsidRPr="297BACBC">
        <w:rPr>
          <w:rFonts w:asciiTheme="minorHAnsi" w:hAnsiTheme="minorHAnsi" w:eastAsiaTheme="minorEastAsia" w:cstheme="minorBidi"/>
          <w:b/>
          <w:bCs/>
          <w:color w:val="FFFFFF" w:themeColor="background1"/>
        </w:rPr>
        <w:t>Teaching</w:t>
      </w:r>
      <w:r w:rsidRPr="297BACBC">
        <w:rPr>
          <w:rFonts w:asciiTheme="minorHAnsi" w:hAnsiTheme="minorHAnsi" w:eastAsiaTheme="minorEastAsia" w:cstheme="minorBidi"/>
          <w:color w:val="FFFFFF" w:themeColor="background1"/>
        </w:rPr>
        <w:t xml:space="preserve"> (for example, CPD, recruitment and retention)</w:t>
      </w:r>
    </w:p>
    <w:p w:rsidRPr="006875F8" w:rsidR="00E66558" w:rsidP="4078E99F" w:rsidRDefault="7FA3BBCD" w14:paraId="2A7D5515" w14:textId="243C2982">
      <w:pPr>
        <w:rPr>
          <w:rFonts w:asciiTheme="minorHAnsi" w:hAnsiTheme="minorHAnsi" w:eastAsiaTheme="minorEastAsia" w:cstheme="minorBidi"/>
          <w:i/>
          <w:iCs/>
          <w:sz w:val="20"/>
          <w:szCs w:val="20"/>
        </w:rPr>
      </w:pPr>
      <w:r w:rsidRPr="4078E99F">
        <w:rPr>
          <w:rFonts w:asciiTheme="minorHAnsi" w:hAnsiTheme="minorHAnsi" w:eastAsiaTheme="minorEastAsia" w:cstheme="minorBidi"/>
          <w:sz w:val="20"/>
          <w:szCs w:val="20"/>
        </w:rPr>
        <w:t xml:space="preserve">Budgeted cost: £ </w:t>
      </w:r>
      <w:r w:rsidRPr="4078E99F" w:rsidR="50ED64E1">
        <w:rPr>
          <w:rFonts w:asciiTheme="minorHAnsi" w:hAnsiTheme="minorHAnsi" w:eastAsiaTheme="minorEastAsia" w:cstheme="minorBidi"/>
          <w:sz w:val="20"/>
          <w:szCs w:val="20"/>
        </w:rPr>
        <w:t>54,180</w:t>
      </w:r>
    </w:p>
    <w:tbl>
      <w:tblPr>
        <w:tblW w:w="9486" w:type="dxa"/>
        <w:tblCellMar>
          <w:left w:w="10" w:type="dxa"/>
          <w:right w:w="10" w:type="dxa"/>
        </w:tblCellMar>
        <w:tblLook w:val="04A0" w:firstRow="1" w:lastRow="0" w:firstColumn="1" w:lastColumn="0" w:noHBand="0" w:noVBand="1"/>
      </w:tblPr>
      <w:tblGrid>
        <w:gridCol w:w="2745"/>
        <w:gridCol w:w="5304"/>
        <w:gridCol w:w="1437"/>
      </w:tblGrid>
      <w:tr w:rsidRPr="006875F8" w:rsidR="00E66558" w:rsidTr="77B54B41" w14:paraId="2A7D5519"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16"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Activity</w:t>
            </w:r>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17"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Evidence that supports this approach</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18"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Challenge number(s) addressed</w:t>
            </w:r>
          </w:p>
        </w:tc>
      </w:tr>
      <w:tr w:rsidRPr="006875F8" w:rsidR="00E66558" w:rsidTr="77B54B41" w14:paraId="2A7D551D"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4461C6" w:rsidP="297BACBC" w:rsidRDefault="3AF9C07B" w14:paraId="1FDDA903" w14:textId="122A0E3E">
            <w:pPr>
              <w:pStyle w:val="TableRow"/>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 xml:space="preserve">Embed metacognitive strategies </w:t>
            </w:r>
            <w:r w:rsidRPr="297BACBC" w:rsidR="37265B53">
              <w:rPr>
                <w:rFonts w:asciiTheme="minorHAnsi" w:hAnsiTheme="minorHAnsi" w:eastAsiaTheme="minorEastAsia" w:cstheme="minorBidi"/>
                <w:color w:val="000000" w:themeColor="text1"/>
                <w:sz w:val="22"/>
                <w:szCs w:val="22"/>
              </w:rPr>
              <w:t>into the curriculum to support retrieval and address gaps in knowledge</w:t>
            </w:r>
            <w:r w:rsidRPr="297BACBC" w:rsidR="744891B4">
              <w:rPr>
                <w:rFonts w:asciiTheme="minorHAnsi" w:hAnsiTheme="minorHAnsi" w:eastAsiaTheme="minorEastAsia" w:cstheme="minorBidi"/>
                <w:color w:val="000000" w:themeColor="text1"/>
                <w:sz w:val="22"/>
                <w:szCs w:val="22"/>
              </w:rPr>
              <w:t>.</w:t>
            </w:r>
          </w:p>
          <w:p w:rsidRPr="006875F8" w:rsidR="004461C6" w:rsidP="297BACBC" w:rsidRDefault="004461C6" w14:paraId="5E3AA96C" w14:textId="6E74F11C">
            <w:pPr>
              <w:pStyle w:val="TableRow"/>
              <w:rPr>
                <w:rFonts w:asciiTheme="minorHAnsi" w:hAnsiTheme="minorHAnsi" w:eastAsiaTheme="minorEastAsia" w:cstheme="minorBidi"/>
                <w:color w:val="000000" w:themeColor="text1"/>
                <w:sz w:val="22"/>
                <w:szCs w:val="22"/>
              </w:rPr>
            </w:pPr>
          </w:p>
          <w:p w:rsidRPr="006875F8" w:rsidR="004461C6" w:rsidP="297BACBC" w:rsidRDefault="744891B4" w14:paraId="2A7D551A" w14:textId="7ACD1CE0">
            <w:pPr>
              <w:pStyle w:val="TableRow"/>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Develop the use of</w:t>
            </w:r>
            <w:r w:rsidRPr="297BACBC" w:rsidR="379A5B55">
              <w:rPr>
                <w:rFonts w:asciiTheme="minorHAnsi" w:hAnsiTheme="minorHAnsi" w:eastAsiaTheme="minorEastAsia" w:cstheme="minorBidi"/>
                <w:color w:val="000000" w:themeColor="text1"/>
                <w:sz w:val="22"/>
                <w:szCs w:val="22"/>
              </w:rPr>
              <w:t xml:space="preserve"> </w:t>
            </w:r>
            <w:proofErr w:type="spellStart"/>
            <w:r w:rsidRPr="297BACBC" w:rsidR="379A5B55">
              <w:rPr>
                <w:rFonts w:asciiTheme="minorHAnsi" w:hAnsiTheme="minorHAnsi" w:eastAsiaTheme="minorEastAsia" w:cstheme="minorBidi"/>
                <w:color w:val="000000" w:themeColor="text1"/>
                <w:sz w:val="22"/>
                <w:szCs w:val="22"/>
              </w:rPr>
              <w:t>Padlet</w:t>
            </w:r>
            <w:proofErr w:type="spellEnd"/>
            <w:r w:rsidRPr="297BACBC" w:rsidR="5E90B622">
              <w:rPr>
                <w:rFonts w:asciiTheme="minorHAnsi" w:hAnsiTheme="minorHAnsi" w:eastAsiaTheme="minorEastAsia" w:cstheme="minorBidi"/>
                <w:color w:val="000000" w:themeColor="text1"/>
                <w:sz w:val="22"/>
                <w:szCs w:val="22"/>
              </w:rPr>
              <w:t xml:space="preserve"> in classrooms</w:t>
            </w:r>
            <w:r w:rsidRPr="297BACBC" w:rsidR="64780AF3">
              <w:rPr>
                <w:rFonts w:asciiTheme="minorHAnsi" w:hAnsiTheme="minorHAnsi" w:eastAsiaTheme="minorEastAsia" w:cstheme="minorBidi"/>
                <w:color w:val="000000" w:themeColor="text1"/>
                <w:sz w:val="22"/>
                <w:szCs w:val="22"/>
              </w:rPr>
              <w:t xml:space="preserve"> through training, CPD, </w:t>
            </w:r>
            <w:proofErr w:type="spellStart"/>
            <w:r w:rsidRPr="297BACBC" w:rsidR="64780AF3">
              <w:rPr>
                <w:rFonts w:asciiTheme="minorHAnsi" w:hAnsiTheme="minorHAnsi" w:eastAsiaTheme="minorEastAsia" w:cstheme="minorBidi"/>
                <w:color w:val="000000" w:themeColor="text1"/>
                <w:sz w:val="22"/>
                <w:szCs w:val="22"/>
              </w:rPr>
              <w:t>etc</w:t>
            </w:r>
            <w:proofErr w:type="spellEnd"/>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4461C6" w:rsidP="297BACBC" w:rsidRDefault="49F1E802" w14:paraId="04E54634" w14:textId="0611770C">
            <w:pPr>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EEF – Metacognition and Self-Regulation Research and Guidance Report.</w:t>
            </w:r>
          </w:p>
          <w:p w:rsidRPr="006875F8" w:rsidR="004461C6" w:rsidP="297BACBC" w:rsidRDefault="00933939" w14:paraId="0D804837" w14:textId="562B4936">
            <w:pPr>
              <w:rPr>
                <w:rFonts w:asciiTheme="minorHAnsi" w:hAnsiTheme="minorHAnsi" w:eastAsiaTheme="minorEastAsia" w:cstheme="minorBidi"/>
                <w:sz w:val="22"/>
                <w:szCs w:val="22"/>
              </w:rPr>
            </w:pPr>
            <w:hyperlink r:id="rId7">
              <w:r w:rsidRPr="297BACBC" w:rsidR="49F1E802">
                <w:rPr>
                  <w:rStyle w:val="Hyperlink"/>
                  <w:rFonts w:asciiTheme="minorHAnsi" w:hAnsiTheme="minorHAnsi" w:eastAsiaTheme="minorEastAsia" w:cstheme="minorBidi"/>
                  <w:sz w:val="22"/>
                  <w:szCs w:val="22"/>
                </w:rPr>
                <w:t>Metacognition and self-regulation | EEF (educationendowmentfoundation.org.uk)</w:t>
              </w:r>
            </w:hyperlink>
          </w:p>
          <w:p w:rsidRPr="006875F8" w:rsidR="004461C6" w:rsidP="297BACBC" w:rsidRDefault="3324EA61" w14:paraId="0EA79669" w14:textId="06045E85">
            <w:pPr>
              <w:rPr>
                <w:rFonts w:asciiTheme="minorHAnsi" w:hAnsiTheme="minorHAnsi" w:eastAsiaTheme="minorEastAsia" w:cstheme="minorBidi"/>
                <w:sz w:val="22"/>
                <w:szCs w:val="22"/>
              </w:rPr>
            </w:pPr>
            <w:r w:rsidRPr="297BACBC">
              <w:rPr>
                <w:rFonts w:asciiTheme="minorHAnsi" w:hAnsiTheme="minorHAnsi" w:eastAsiaTheme="minorEastAsia" w:cstheme="minorBidi"/>
                <w:color w:val="000000" w:themeColor="text1"/>
                <w:sz w:val="22"/>
                <w:szCs w:val="22"/>
              </w:rPr>
              <w:t>Metacognition – very high impact, low cost</w:t>
            </w:r>
            <w:r w:rsidRPr="297BACBC" w:rsidR="27F95F15">
              <w:rPr>
                <w:rFonts w:asciiTheme="minorHAnsi" w:hAnsiTheme="minorHAnsi" w:eastAsiaTheme="minorEastAsia" w:cstheme="minorBidi"/>
                <w:color w:val="000000" w:themeColor="text1"/>
                <w:sz w:val="22"/>
                <w:szCs w:val="22"/>
              </w:rPr>
              <w:t xml:space="preserve">  </w:t>
            </w:r>
            <w:hyperlink r:id="rId8">
              <w:r w:rsidRPr="297BACBC">
                <w:rPr>
                  <w:rStyle w:val="Hyperlink"/>
                  <w:rFonts w:asciiTheme="minorHAnsi" w:hAnsiTheme="minorHAnsi" w:eastAsiaTheme="minorEastAsia" w:cstheme="minorBidi"/>
                  <w:sz w:val="22"/>
                  <w:szCs w:val="22"/>
                </w:rPr>
                <w:t>Teaching and Learning Toolkit | EEF (educationendowmentfoundation.org.uk)</w:t>
              </w:r>
            </w:hyperlink>
          </w:p>
          <w:p w:rsidRPr="006875F8" w:rsidR="004461C6" w:rsidP="297BACBC" w:rsidRDefault="49F1E802" w14:paraId="2A7D551B" w14:textId="26BFB388">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color w:val="0000FF"/>
                <w:sz w:val="22"/>
                <w:szCs w:val="22"/>
                <w:u w:val="single"/>
              </w:rPr>
              <w:t>Effective professional Development - EEF</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39054EDA" w14:paraId="2A7D551C" w14:textId="3733D833">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1, 2, </w:t>
            </w:r>
          </w:p>
        </w:tc>
      </w:tr>
      <w:tr w:rsidR="77B54B41" w:rsidTr="77B54B41" w14:paraId="1CBC89D5">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9FEDC0E" w:rsidP="77B54B41" w:rsidRDefault="59FEDC0E" w14:paraId="1C042162" w14:textId="45EF81D9">
            <w:pPr>
              <w:pStyle w:val="TableRow"/>
              <w:rPr>
                <w:rFonts w:ascii="Calibri" w:hAnsi="Calibri" w:eastAsia="" w:cs="" w:asciiTheme="minorAscii" w:hAnsiTheme="minorAscii" w:eastAsiaTheme="minorEastAsia" w:cstheme="minorBidi"/>
                <w:color w:val="000000" w:themeColor="text1" w:themeTint="FF" w:themeShade="FF"/>
                <w:sz w:val="22"/>
                <w:szCs w:val="22"/>
              </w:rPr>
            </w:pPr>
            <w:r w:rsidRPr="77B54B41" w:rsidR="59FEDC0E">
              <w:rPr>
                <w:rFonts w:ascii="Calibri" w:hAnsi="Calibri" w:eastAsia="" w:cs="" w:asciiTheme="minorAscii" w:hAnsiTheme="minorAscii" w:eastAsiaTheme="minorEastAsia" w:cstheme="minorBidi"/>
                <w:color w:val="000000" w:themeColor="text1" w:themeTint="FF" w:themeShade="FF"/>
                <w:sz w:val="22"/>
                <w:szCs w:val="22"/>
              </w:rPr>
              <w:t xml:space="preserve">Assistant Head to take on Literacy lead role from September </w:t>
            </w:r>
            <w:r w:rsidRPr="77B54B41" w:rsidR="7D6C1CC8">
              <w:rPr>
                <w:rFonts w:ascii="Calibri" w:hAnsi="Calibri" w:eastAsia="" w:cs="" w:asciiTheme="minorAscii" w:hAnsiTheme="minorAscii" w:eastAsiaTheme="minorEastAsia" w:cstheme="minorBidi"/>
                <w:color w:val="000000" w:themeColor="text1" w:themeTint="FF" w:themeShade="FF"/>
                <w:sz w:val="22"/>
                <w:szCs w:val="22"/>
              </w:rPr>
              <w:t>with key focus on Oracy (whole school oracy plan to be created)</w:t>
            </w:r>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21CE90" w:rsidP="77B54B41" w:rsidRDefault="0C21CE90" w14:paraId="2C7414F0" w14:textId="422846EB">
            <w:pPr>
              <w:pStyle w:val="Normal"/>
            </w:pPr>
            <w:r w:rsidRPr="77B54B41" w:rsidR="0C21CE90">
              <w:rPr>
                <w:rFonts w:ascii="Calibri" w:hAnsi="Calibri" w:eastAsia="Calibri" w:cs="Calibri"/>
                <w:noProof w:val="0"/>
                <w:sz w:val="22"/>
                <w:szCs w:val="22"/>
                <w:lang w:val="en-GB"/>
              </w:rPr>
              <w:t xml:space="preserve">EEF Guidance Report – Improving Literacy in KS1 </w:t>
            </w:r>
            <w:hyperlink r:id="R806cbb326e85454e">
              <w:r w:rsidRPr="77B54B41" w:rsidR="0C21CE90">
                <w:rPr>
                  <w:rStyle w:val="Hyperlink"/>
                  <w:rFonts w:ascii="Calibri" w:hAnsi="Calibri" w:eastAsia="Calibri" w:cs="Calibri"/>
                  <w:noProof w:val="0"/>
                  <w:lang w:val="en-GB"/>
                </w:rPr>
                <w:t>https://d2tic4wvo1iusb.cloudfront.net/production/eef-guidancereports/literacy-ks1/Literacy_KS1_Guidance_Report_2020.pdf?v=1688966443</w:t>
              </w:r>
            </w:hyperlink>
            <w:r w:rsidRPr="77B54B41" w:rsidR="0C21CE90">
              <w:rPr>
                <w:rFonts w:ascii="Calibri" w:hAnsi="Calibri" w:eastAsia="Calibri" w:cs="Calibri"/>
                <w:noProof w:val="0"/>
                <w:sz w:val="22"/>
                <w:szCs w:val="22"/>
                <w:lang w:val="en-GB"/>
              </w:rPr>
              <w:t xml:space="preserve">  </w:t>
            </w:r>
          </w:p>
          <w:p w:rsidR="0C21CE90" w:rsidP="77B54B41" w:rsidRDefault="0C21CE90" w14:paraId="3F0D070B" w14:textId="1BF9BDF0">
            <w:pPr>
              <w:pStyle w:val="Normal"/>
            </w:pPr>
            <w:r w:rsidRPr="77B54B41" w:rsidR="0C21CE90">
              <w:rPr>
                <w:rFonts w:ascii="Calibri" w:hAnsi="Calibri" w:eastAsia="Calibri" w:cs="Calibri"/>
                <w:noProof w:val="0"/>
                <w:sz w:val="22"/>
                <w:szCs w:val="22"/>
                <w:lang w:val="en-GB"/>
              </w:rPr>
              <w:t xml:space="preserve">EEF Guidance Report – Improving Literacy in KS2 – </w:t>
            </w:r>
            <w:hyperlink r:id="Rd1d7de7503c84d07">
              <w:r w:rsidRPr="77B54B41" w:rsidR="0C21CE90">
                <w:rPr>
                  <w:rStyle w:val="Hyperlink"/>
                  <w:rFonts w:ascii="Calibri" w:hAnsi="Calibri" w:eastAsia="Calibri" w:cs="Calibri"/>
                  <w:noProof w:val="0"/>
                  <w:lang w:val="en-GB"/>
                </w:rPr>
                <w:t>https://d2tic4wvo1iusb.cloudfront.net/production/eef-guidancereports/literacy-ks2/EEF-Improving-literacy-in-key-stage-2-reportSecond-edition.pdf?v=1688960393</w:t>
              </w:r>
            </w:hyperlink>
            <w:r w:rsidRPr="77B54B41" w:rsidR="0C21CE90">
              <w:rPr>
                <w:rFonts w:ascii="Calibri" w:hAnsi="Calibri" w:eastAsia="Calibri" w:cs="Calibri"/>
                <w:noProof w:val="0"/>
                <w:sz w:val="22"/>
                <w:szCs w:val="22"/>
                <w:lang w:val="en-GB"/>
              </w:rPr>
              <w:t xml:space="preserve"> </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B54B41" w:rsidP="77B54B41" w:rsidRDefault="77B54B41" w14:paraId="1E562EB8" w14:textId="7E86BBDA">
            <w:pPr>
              <w:pStyle w:val="TableRowCentered"/>
              <w:jc w:val="left"/>
              <w:rPr>
                <w:rFonts w:ascii="Calibri" w:hAnsi="Calibri" w:eastAsia="" w:cs="" w:asciiTheme="minorAscii" w:hAnsiTheme="minorAscii" w:eastAsiaTheme="minorEastAsia" w:cstheme="minorBidi"/>
                <w:sz w:val="22"/>
                <w:szCs w:val="22"/>
              </w:rPr>
            </w:pPr>
          </w:p>
        </w:tc>
      </w:tr>
      <w:tr w:rsidR="182DDB3E" w:rsidTr="77B54B41" w14:paraId="21BCCF42" w14:textId="77777777">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8B72D91" w:rsidP="297BACBC" w:rsidRDefault="0E03386E" w14:paraId="34727845" w14:textId="0E6B7AA3">
            <w:pPr>
              <w:pStyle w:val="TableRow"/>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Fully d</w:t>
            </w:r>
            <w:r w:rsidRPr="297BACBC" w:rsidR="2413A48E">
              <w:rPr>
                <w:rFonts w:asciiTheme="minorHAnsi" w:hAnsiTheme="minorHAnsi" w:eastAsiaTheme="minorEastAsia" w:cstheme="minorBidi"/>
                <w:color w:val="000000" w:themeColor="text1"/>
                <w:sz w:val="22"/>
                <w:szCs w:val="22"/>
              </w:rPr>
              <w:t>evelop the use of Starr Assessment as a whole school assessment tool to track the attainment of all pupils regardless of starting points</w:t>
            </w:r>
            <w:r w:rsidRPr="297BACBC" w:rsidR="0125827B">
              <w:rPr>
                <w:rFonts w:asciiTheme="minorHAnsi" w:hAnsiTheme="minorHAnsi" w:eastAsiaTheme="minorEastAsia" w:cstheme="minorBidi"/>
                <w:color w:val="000000" w:themeColor="text1"/>
                <w:sz w:val="22"/>
                <w:szCs w:val="22"/>
              </w:rPr>
              <w:t>.</w:t>
            </w:r>
            <w:r w:rsidRPr="297BACBC" w:rsidR="6F185B15">
              <w:rPr>
                <w:rFonts w:asciiTheme="minorHAnsi" w:hAnsiTheme="minorHAnsi" w:eastAsiaTheme="minorEastAsia" w:cstheme="minorBidi"/>
                <w:color w:val="000000" w:themeColor="text1"/>
                <w:sz w:val="22"/>
                <w:szCs w:val="22"/>
              </w:rPr>
              <w:t xml:space="preserve"> Staff training, CPD, development of assessment lead role, etc.</w:t>
            </w:r>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F9A6190" w:rsidP="297BACBC" w:rsidRDefault="04548D9C" w14:paraId="5428BBF1" w14:textId="5E3C71EC">
            <w:pPr>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‘Renaissance assessment and practice solutions are recognized by national educational organizations and publications dedicated to ensuring all students receive an outstanding education.’</w:t>
            </w:r>
          </w:p>
          <w:p w:rsidR="3C401B4F" w:rsidP="297BACBC" w:rsidRDefault="00933939" w14:paraId="7CBD2267" w14:textId="564853EF">
            <w:pPr>
              <w:rPr>
                <w:rFonts w:asciiTheme="minorHAnsi" w:hAnsiTheme="minorHAnsi" w:eastAsiaTheme="minorEastAsia" w:cstheme="minorBidi"/>
                <w:sz w:val="22"/>
                <w:szCs w:val="22"/>
              </w:rPr>
            </w:pPr>
            <w:hyperlink r:id="rId9">
              <w:r w:rsidRPr="297BACBC" w:rsidR="629F1B54">
                <w:rPr>
                  <w:rStyle w:val="Hyperlink"/>
                  <w:rFonts w:asciiTheme="minorHAnsi" w:hAnsiTheme="minorHAnsi" w:eastAsiaTheme="minorEastAsia" w:cstheme="minorBidi"/>
                  <w:sz w:val="22"/>
                  <w:szCs w:val="22"/>
                </w:rPr>
                <w:t>Starr Assessment</w:t>
              </w:r>
            </w:hyperlink>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F9A6190" w:rsidP="297BACBC" w:rsidRDefault="04548D9C" w14:paraId="7476007D" w14:textId="22EAF6BD">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1</w:t>
            </w:r>
          </w:p>
        </w:tc>
      </w:tr>
      <w:tr w:rsidRPr="006875F8" w:rsidR="00A334F2" w:rsidTr="77B54B41" w14:paraId="4599D6C9"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A334F2" w:rsidP="77B54B41" w:rsidRDefault="6572CE12" w14:paraId="6399C8C2" w14:textId="532ED37C">
            <w:pPr>
              <w:pStyle w:val="TableRow"/>
              <w:rPr>
                <w:rFonts w:ascii="Calibri" w:hAnsi="Calibri" w:eastAsia="Calibri" w:cs="Calibri" w:asciiTheme="minorAscii" w:hAnsiTheme="minorAscii" w:eastAsiaTheme="minorAscii" w:cstheme="minorAscii"/>
                <w:sz w:val="22"/>
                <w:szCs w:val="22"/>
              </w:rPr>
            </w:pPr>
            <w:r w:rsidRPr="77B54B41" w:rsidR="06384C8E">
              <w:rPr>
                <w:rFonts w:ascii="Calibri" w:hAnsi="Calibri" w:eastAsia="Calibri" w:cs="Calibri" w:asciiTheme="minorAscii" w:hAnsiTheme="minorAscii" w:eastAsiaTheme="minorAscii" w:cstheme="minorAscii"/>
                <w:sz w:val="22"/>
                <w:szCs w:val="22"/>
              </w:rPr>
              <w:t xml:space="preserve">Staff CPD focused on </w:t>
            </w:r>
            <w:r w:rsidRPr="77B54B41" w:rsidR="06384C8E">
              <w:rPr>
                <w:rFonts w:ascii="Calibri" w:hAnsi="Calibri" w:eastAsia="Calibri" w:cs="Calibri" w:asciiTheme="minorAscii" w:hAnsiTheme="minorAscii" w:eastAsiaTheme="minorAscii" w:cstheme="minorAscii"/>
                <w:sz w:val="22"/>
                <w:szCs w:val="22"/>
              </w:rPr>
              <w:t>m</w:t>
            </w:r>
            <w:r w:rsidRPr="77B54B41" w:rsidR="06384C8E">
              <w:rPr>
                <w:rFonts w:ascii="Calibri" w:hAnsi="Calibri" w:eastAsia="Calibri" w:cs="Calibri" w:asciiTheme="minorAscii" w:hAnsiTheme="minorAscii" w:eastAsiaTheme="minorAscii" w:cstheme="minorAscii"/>
                <w:sz w:val="22"/>
                <w:szCs w:val="22"/>
              </w:rPr>
              <w:t>etacognative</w:t>
            </w:r>
            <w:r w:rsidRPr="77B54B41" w:rsidR="06384C8E">
              <w:rPr>
                <w:rFonts w:ascii="Calibri" w:hAnsi="Calibri" w:eastAsia="Calibri" w:cs="Calibri" w:asciiTheme="minorAscii" w:hAnsiTheme="minorAscii" w:eastAsiaTheme="minorAscii" w:cstheme="minorAscii"/>
                <w:sz w:val="22"/>
                <w:szCs w:val="22"/>
              </w:rPr>
              <w:t xml:space="preserve"> practices </w:t>
            </w:r>
            <w:r w:rsidRPr="77B54B41" w:rsidR="06384C8E">
              <w:rPr>
                <w:rFonts w:ascii="Calibri" w:hAnsi="Calibri" w:eastAsia="Calibri" w:cs="Calibri" w:asciiTheme="minorAscii" w:hAnsiTheme="minorAscii" w:eastAsiaTheme="minorAscii" w:cstheme="minorAscii"/>
                <w:sz w:val="22"/>
                <w:szCs w:val="22"/>
              </w:rPr>
              <w:t>linked to retrieval skills to ensure quality first teaching and teaching methods aligned with how children learn.</w:t>
            </w:r>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A334F2" w:rsidP="77B54B41" w:rsidRDefault="00A334F2" w14:paraId="31C38FB9" w14:textId="1C65EDFA">
            <w:pPr>
              <w:pStyle w:val="TableRowCentered"/>
              <w:jc w:val="left"/>
              <w:rPr>
                <w:rFonts w:ascii="Calibri" w:hAnsi="Calibri" w:eastAsia="Calibri" w:cs="Calibri" w:asciiTheme="minorAscii" w:hAnsiTheme="minorAscii" w:eastAsiaTheme="minorAscii" w:cstheme="minorAscii"/>
                <w:noProof w:val="0"/>
                <w:sz w:val="20"/>
                <w:szCs w:val="20"/>
                <w:lang w:val="en-GB"/>
              </w:rPr>
            </w:pPr>
            <w:r w:rsidRPr="77B54B41" w:rsidR="166890B3">
              <w:rPr>
                <w:rFonts w:ascii="Calibri" w:hAnsi="Calibri" w:eastAsia="Calibri" w:cs="Calibri" w:asciiTheme="minorAscii" w:hAnsiTheme="minorAscii" w:eastAsiaTheme="minorAscii" w:cstheme="minorAscii"/>
                <w:noProof w:val="0"/>
                <w:sz w:val="20"/>
                <w:szCs w:val="20"/>
                <w:lang w:val="en-GB"/>
              </w:rPr>
              <w:t xml:space="preserve">There is vast amount of evidence to suggest that metacognitive practices are one of the most impactful pedagogical strategies to help support independent, self </w:t>
            </w:r>
            <w:r w:rsidRPr="77B54B41" w:rsidR="166890B3">
              <w:rPr>
                <w:rFonts w:ascii="Calibri" w:hAnsi="Calibri" w:eastAsia="Calibri" w:cs="Calibri" w:asciiTheme="minorAscii" w:hAnsiTheme="minorAscii" w:eastAsiaTheme="minorAscii" w:cstheme="minorAscii"/>
                <w:noProof w:val="0"/>
                <w:sz w:val="20"/>
                <w:szCs w:val="20"/>
                <w:lang w:val="en-GB"/>
              </w:rPr>
              <w:t>efficate</w:t>
            </w:r>
            <w:r w:rsidRPr="77B54B41" w:rsidR="166890B3">
              <w:rPr>
                <w:rFonts w:ascii="Calibri" w:hAnsi="Calibri" w:eastAsia="Calibri" w:cs="Calibri" w:asciiTheme="minorAscii" w:hAnsiTheme="minorAscii" w:eastAsiaTheme="minorAscii" w:cstheme="minorAscii"/>
                <w:noProof w:val="0"/>
                <w:sz w:val="20"/>
                <w:szCs w:val="20"/>
                <w:lang w:val="en-GB"/>
              </w:rPr>
              <w:t xml:space="preserve"> learners. </w:t>
            </w:r>
          </w:p>
          <w:p w:rsidRPr="006875F8" w:rsidR="00A334F2" w:rsidP="77B54B41" w:rsidRDefault="00A334F2" w14:paraId="0148B457" w14:textId="511563D4">
            <w:pPr>
              <w:pStyle w:val="TableRowCentered"/>
              <w:jc w:val="left"/>
              <w:rPr>
                <w:rFonts w:ascii="Calibri" w:hAnsi="Calibri" w:eastAsia="Calibri" w:cs="Calibri" w:asciiTheme="minorAscii" w:hAnsiTheme="minorAscii" w:eastAsiaTheme="minorAscii" w:cstheme="minorAscii"/>
                <w:noProof w:val="0"/>
                <w:sz w:val="20"/>
                <w:szCs w:val="20"/>
                <w:lang w:val="en-GB"/>
              </w:rPr>
            </w:pPr>
            <w:r w:rsidRPr="77B54B41" w:rsidR="166890B3">
              <w:rPr>
                <w:rFonts w:ascii="Calibri" w:hAnsi="Calibri" w:eastAsia="Calibri" w:cs="Calibri" w:asciiTheme="minorAscii" w:hAnsiTheme="minorAscii" w:eastAsiaTheme="minorAscii" w:cstheme="minorAscii"/>
                <w:noProof w:val="0"/>
                <w:sz w:val="20"/>
                <w:szCs w:val="20"/>
                <w:lang w:val="en-GB"/>
              </w:rPr>
              <w:t xml:space="preserve">‘The Great Teaching Toolkit’ – with </w:t>
            </w:r>
            <w:r w:rsidRPr="77B54B41" w:rsidR="166890B3">
              <w:rPr>
                <w:rFonts w:ascii="Calibri" w:hAnsi="Calibri" w:eastAsia="Calibri" w:cs="Calibri" w:asciiTheme="minorAscii" w:hAnsiTheme="minorAscii" w:eastAsiaTheme="minorAscii" w:cstheme="minorAscii"/>
                <w:noProof w:val="0"/>
                <w:sz w:val="20"/>
                <w:szCs w:val="20"/>
                <w:lang w:val="en-GB"/>
              </w:rPr>
              <w:t>particular reference</w:t>
            </w:r>
            <w:r w:rsidRPr="77B54B41" w:rsidR="166890B3">
              <w:rPr>
                <w:rFonts w:ascii="Calibri" w:hAnsi="Calibri" w:eastAsia="Calibri" w:cs="Calibri" w:asciiTheme="minorAscii" w:hAnsiTheme="minorAscii" w:eastAsiaTheme="minorAscii" w:cstheme="minorAscii"/>
                <w:noProof w:val="0"/>
                <w:sz w:val="20"/>
                <w:szCs w:val="20"/>
                <w:lang w:val="en-GB"/>
              </w:rPr>
              <w:t xml:space="preserve"> to the ‘Activating Hard Thinking’ section </w:t>
            </w:r>
            <w:hyperlink r:id="R58e4e628bfd8436c">
              <w:r w:rsidRPr="77B54B41" w:rsidR="166890B3">
                <w:rPr>
                  <w:rStyle w:val="Hyperlink"/>
                  <w:rFonts w:ascii="Calibri" w:hAnsi="Calibri" w:eastAsia="Calibri" w:cs="Calibri" w:asciiTheme="minorAscii" w:hAnsiTheme="minorAscii" w:eastAsiaTheme="minorAscii" w:cstheme="minorAscii"/>
                  <w:noProof w:val="0"/>
                  <w:sz w:val="20"/>
                  <w:szCs w:val="20"/>
                  <w:lang w:val="en-GB"/>
                </w:rPr>
                <w:t>https://www.greatteaching.com/</w:t>
              </w:r>
            </w:hyperlink>
            <w:r w:rsidRPr="77B54B41" w:rsidR="166890B3">
              <w:rPr>
                <w:rFonts w:ascii="Calibri" w:hAnsi="Calibri" w:eastAsia="Calibri" w:cs="Calibri" w:asciiTheme="minorAscii" w:hAnsiTheme="minorAscii" w:eastAsiaTheme="minorAscii" w:cstheme="minorAscii"/>
                <w:noProof w:val="0"/>
                <w:sz w:val="20"/>
                <w:szCs w:val="20"/>
                <w:lang w:val="en-GB"/>
              </w:rPr>
              <w:t xml:space="preserve"> </w:t>
            </w:r>
          </w:p>
          <w:p w:rsidR="77B54B41" w:rsidP="77B54B41" w:rsidRDefault="77B54B41" w14:paraId="77055E8A" w14:textId="0F982A59">
            <w:pPr>
              <w:pStyle w:val="TableRowCentered"/>
              <w:jc w:val="left"/>
              <w:rPr>
                <w:rFonts w:ascii="Calibri" w:hAnsi="Calibri" w:eastAsia="Calibri" w:cs="Calibri" w:asciiTheme="minorAscii" w:hAnsiTheme="minorAscii" w:eastAsiaTheme="minorAscii" w:cstheme="minorAscii"/>
                <w:noProof w:val="0"/>
                <w:sz w:val="20"/>
                <w:szCs w:val="20"/>
                <w:lang w:val="en-GB"/>
              </w:rPr>
            </w:pPr>
          </w:p>
          <w:p w:rsidRPr="006875F8" w:rsidR="00A334F2" w:rsidP="77B54B41" w:rsidRDefault="00933939" w14:paraId="07745EED" w14:textId="27202EDC">
            <w:pPr>
              <w:pStyle w:val="TableRowCentered"/>
              <w:jc w:val="left"/>
              <w:rPr>
                <w:rFonts w:ascii="Calibri" w:hAnsi="Calibri" w:eastAsia="Calibri" w:cs="Calibri" w:asciiTheme="minorAscii" w:hAnsiTheme="minorAscii" w:eastAsiaTheme="minorAscii" w:cstheme="minorAscii"/>
                <w:sz w:val="20"/>
                <w:szCs w:val="20"/>
              </w:rPr>
            </w:pPr>
            <w:hyperlink r:id="Racc9e42c452845e7">
              <w:r w:rsidRPr="77B54B41" w:rsidR="788A4185">
                <w:rPr>
                  <w:rStyle w:val="Hyperlink"/>
                  <w:rFonts w:ascii="Calibri" w:hAnsi="Calibri" w:eastAsia="Calibri" w:cs="Calibri" w:asciiTheme="minorAscii" w:hAnsiTheme="minorAscii" w:eastAsiaTheme="minorAscii" w:cstheme="minorAscii"/>
                  <w:sz w:val="20"/>
                  <w:szCs w:val="20"/>
                </w:rPr>
                <w:t>https://educationendowmentfoundation.org.uk/education-evidence/guidance-reports/metacognition</w:t>
              </w:r>
            </w:hyperlink>
          </w:p>
          <w:p w:rsidRPr="006875F8" w:rsidR="00A334F2" w:rsidP="297BACBC" w:rsidRDefault="00A334F2" w14:paraId="1DB7936B" w14:textId="4DA02963">
            <w:pPr>
              <w:pStyle w:val="TableRowCentered"/>
              <w:jc w:val="left"/>
              <w:rPr>
                <w:rFonts w:asciiTheme="minorHAnsi" w:hAnsiTheme="minorHAnsi" w:eastAsiaTheme="minorEastAsia" w:cstheme="minorBidi"/>
                <w:sz w:val="22"/>
                <w:szCs w:val="22"/>
              </w:rPr>
            </w:pP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A334F2" w:rsidP="297BACBC" w:rsidRDefault="0811AF43" w14:paraId="269F3AA7" w14:textId="7209B374">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 xml:space="preserve">1, </w:t>
            </w:r>
            <w:r w:rsidRPr="7D08D74D" w:rsidR="4FD677FA">
              <w:rPr>
                <w:rFonts w:asciiTheme="minorHAnsi" w:hAnsiTheme="minorHAnsi" w:eastAsiaTheme="minorEastAsia" w:cstheme="minorBidi"/>
                <w:sz w:val="22"/>
                <w:szCs w:val="22"/>
              </w:rPr>
              <w:t>2, 3,</w:t>
            </w:r>
          </w:p>
        </w:tc>
      </w:tr>
      <w:tr w:rsidR="182DDB3E" w:rsidTr="77B54B41" w14:paraId="3F641C96" w14:textId="77777777">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297BACBC" w:rsidRDefault="5290EECE" w14:paraId="131AF128" w14:textId="1D08766C">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Use of Let’s Think in English</w:t>
            </w:r>
            <w:r w:rsidRPr="297BACBC" w:rsidR="3FEC4700">
              <w:rPr>
                <w:rFonts w:asciiTheme="minorHAnsi" w:hAnsiTheme="minorHAnsi" w:eastAsiaTheme="minorEastAsia" w:cstheme="minorBidi"/>
                <w:sz w:val="22"/>
                <w:szCs w:val="22"/>
              </w:rPr>
              <w:t xml:space="preserve"> across school to develop reading, comprehension, and speaking and listening skills</w:t>
            </w:r>
            <w:r w:rsidRPr="297BACBC" w:rsidR="55B6B086">
              <w:rPr>
                <w:rFonts w:asciiTheme="minorHAnsi" w:hAnsiTheme="minorHAnsi" w:eastAsiaTheme="minorEastAsia" w:cstheme="minorBidi"/>
                <w:sz w:val="22"/>
                <w:szCs w:val="22"/>
              </w:rPr>
              <w:t xml:space="preserve">. Training and CPD for staff, time out of class to observe each other, </w:t>
            </w:r>
            <w:proofErr w:type="spellStart"/>
            <w:r w:rsidRPr="297BACBC" w:rsidR="55B6B086">
              <w:rPr>
                <w:rFonts w:asciiTheme="minorHAnsi" w:hAnsiTheme="minorHAnsi" w:eastAsiaTheme="minorEastAsia" w:cstheme="minorBidi"/>
                <w:sz w:val="22"/>
                <w:szCs w:val="22"/>
              </w:rPr>
              <w:t>etc</w:t>
            </w:r>
            <w:proofErr w:type="spellEnd"/>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297BACBC" w:rsidRDefault="5290EECE" w14:paraId="78246ABB" w14:textId="794D4B2F">
            <w:pPr>
              <w:rPr>
                <w:rFonts w:asciiTheme="minorHAnsi" w:hAnsiTheme="minorHAnsi" w:eastAsiaTheme="minorEastAsia" w:cstheme="minorBidi"/>
                <w:color w:val="000000" w:themeColor="text1"/>
                <w:sz w:val="22"/>
                <w:szCs w:val="22"/>
              </w:rPr>
            </w:pPr>
            <w:r w:rsidRPr="297BACBC">
              <w:rPr>
                <w:rFonts w:asciiTheme="minorHAnsi" w:hAnsiTheme="minorHAnsi" w:eastAsiaTheme="minorEastAsia" w:cstheme="minorBidi"/>
                <w:color w:val="000000" w:themeColor="text1"/>
                <w:sz w:val="22"/>
                <w:szCs w:val="22"/>
              </w:rPr>
              <w:t>LTE also impacts on reading comprehension, low cost, high impact</w:t>
            </w:r>
          </w:p>
          <w:p w:rsidR="182DDB3E" w:rsidP="297BACBC" w:rsidRDefault="00933939" w14:paraId="5183A15E" w14:textId="79310370">
            <w:pPr>
              <w:rPr>
                <w:rFonts w:asciiTheme="minorHAnsi" w:hAnsiTheme="minorHAnsi" w:eastAsiaTheme="minorEastAsia" w:cstheme="minorBidi"/>
                <w:sz w:val="22"/>
                <w:szCs w:val="22"/>
              </w:rPr>
            </w:pPr>
            <w:hyperlink r:id="rId13">
              <w:r w:rsidRPr="297BACBC" w:rsidR="5290EECE">
                <w:rPr>
                  <w:rStyle w:val="Hyperlink"/>
                  <w:rFonts w:asciiTheme="minorHAnsi" w:hAnsiTheme="minorHAnsi" w:eastAsiaTheme="minorEastAsia" w:cstheme="minorBidi"/>
                  <w:sz w:val="22"/>
                  <w:szCs w:val="22"/>
                </w:rPr>
                <w:t>Teaching and Learning Toolkit | EEF (educationendowmentfoundation.org.uk)</w:t>
              </w:r>
            </w:hyperlink>
          </w:p>
          <w:p w:rsidR="182DDB3E" w:rsidP="297BACBC" w:rsidRDefault="182DDB3E" w14:paraId="3FD4373E" w14:textId="04DC9C4C">
            <w:pPr>
              <w:pStyle w:val="TableRowCentered"/>
              <w:jc w:val="left"/>
              <w:rPr>
                <w:rFonts w:asciiTheme="minorHAnsi" w:hAnsiTheme="minorHAnsi" w:eastAsiaTheme="minorEastAsia" w:cstheme="minorBidi"/>
                <w:sz w:val="22"/>
                <w:szCs w:val="22"/>
              </w:rPr>
            </w:pP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297BACBC" w:rsidRDefault="5290EECE" w14:paraId="39E9ABBD" w14:textId="6785C944">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1, 2 </w:t>
            </w:r>
          </w:p>
        </w:tc>
      </w:tr>
      <w:tr w:rsidR="182DDB3E" w:rsidTr="77B54B41" w14:paraId="7C79C094" w14:textId="77777777">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C0B51C8" w:rsidP="297BACBC" w:rsidRDefault="6727816E" w14:paraId="345F2AD8" w14:textId="195DD002">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Use of Launchpad for Literacy Programme. Launchpad for Literacy is all about children, the skills they have and the skills they need for all aspects of </w:t>
            </w:r>
            <w:proofErr w:type="gramStart"/>
            <w:r w:rsidRPr="297BACBC">
              <w:rPr>
                <w:rFonts w:asciiTheme="minorHAnsi" w:hAnsiTheme="minorHAnsi" w:eastAsiaTheme="minorEastAsia" w:cstheme="minorBidi"/>
                <w:sz w:val="22"/>
                <w:szCs w:val="22"/>
              </w:rPr>
              <w:t>literacy .</w:t>
            </w:r>
            <w:proofErr w:type="gramEnd"/>
            <w:r w:rsidRPr="297BACBC">
              <w:rPr>
                <w:rFonts w:asciiTheme="minorHAnsi" w:hAnsiTheme="minorHAnsi" w:eastAsiaTheme="minorEastAsia" w:cstheme="minorBidi"/>
                <w:sz w:val="22"/>
                <w:szCs w:val="22"/>
              </w:rPr>
              <w:t xml:space="preserve"> </w:t>
            </w:r>
          </w:p>
        </w:tc>
        <w:tc>
          <w:tcPr>
            <w:tcW w:w="5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6A6AB6E" w:rsidP="297BACBC" w:rsidRDefault="1BB9FB9F" w14:paraId="3EC6385E" w14:textId="3E27BF76">
            <w:pPr>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It is a systematic, skill-based approach providing a diagnostic tool kit to identify barriers to learning.</w:t>
            </w:r>
          </w:p>
          <w:p w:rsidR="46A84A59" w:rsidP="297BACBC" w:rsidRDefault="00933939" w14:paraId="5C4B3AC1" w14:textId="1E67BD50">
            <w:pPr>
              <w:rPr>
                <w:rFonts w:asciiTheme="minorHAnsi" w:hAnsiTheme="minorHAnsi" w:eastAsiaTheme="minorEastAsia" w:cstheme="minorBidi"/>
                <w:sz w:val="22"/>
                <w:szCs w:val="22"/>
              </w:rPr>
            </w:pPr>
            <w:hyperlink r:id="rId14">
              <w:proofErr w:type="spellStart"/>
              <w:r w:rsidRPr="297BACBC" w:rsidR="61D5197A">
                <w:rPr>
                  <w:rStyle w:val="Hyperlink"/>
                  <w:rFonts w:asciiTheme="minorHAnsi" w:hAnsiTheme="minorHAnsi" w:eastAsiaTheme="minorEastAsia" w:cstheme="minorBidi"/>
                  <w:sz w:val="22"/>
                  <w:szCs w:val="22"/>
                </w:rPr>
                <w:t>LaunchPad</w:t>
              </w:r>
              <w:proofErr w:type="spellEnd"/>
              <w:r w:rsidRPr="297BACBC" w:rsidR="61D5197A">
                <w:rPr>
                  <w:rStyle w:val="Hyperlink"/>
                  <w:rFonts w:asciiTheme="minorHAnsi" w:hAnsiTheme="minorHAnsi" w:eastAsiaTheme="minorEastAsia" w:cstheme="minorBidi"/>
                  <w:sz w:val="22"/>
                  <w:szCs w:val="22"/>
                </w:rPr>
                <w:t xml:space="preserve"> website</w:t>
              </w:r>
            </w:hyperlink>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A84A59" w:rsidP="297BACBC" w:rsidRDefault="61D5197A" w14:paraId="6017B773" w14:textId="5813BABA">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1, 2</w:t>
            </w:r>
          </w:p>
        </w:tc>
      </w:tr>
    </w:tbl>
    <w:p w:rsidRPr="006875F8" w:rsidR="00E66558" w:rsidP="297BACBC" w:rsidRDefault="00E66558" w14:paraId="2A7D5522" w14:textId="77777777">
      <w:pPr>
        <w:keepNext/>
        <w:spacing w:after="60"/>
        <w:outlineLvl w:val="1"/>
        <w:rPr>
          <w:rFonts w:asciiTheme="minorHAnsi" w:hAnsiTheme="minorHAnsi" w:eastAsiaTheme="minorEastAsia" w:cstheme="minorBidi"/>
          <w:sz w:val="20"/>
          <w:szCs w:val="20"/>
        </w:rPr>
      </w:pPr>
    </w:p>
    <w:p w:rsidRPr="00E12882" w:rsidR="00E66558" w:rsidP="297BACBC" w:rsidRDefault="009D71E8" w14:paraId="2A7D5523" w14:textId="2A6A4F49">
      <w:pPr>
        <w:shd w:val="clear" w:color="auto" w:fill="808080" w:themeFill="background1" w:themeFillShade="80"/>
        <w:rPr>
          <w:rFonts w:asciiTheme="minorHAnsi" w:hAnsiTheme="minorHAnsi" w:eastAsiaTheme="minorEastAsia" w:cstheme="minorBidi"/>
          <w:b/>
          <w:bCs/>
          <w:color w:val="FFFFFF" w:themeColor="background1"/>
          <w:sz w:val="22"/>
          <w:szCs w:val="22"/>
        </w:rPr>
      </w:pPr>
      <w:r w:rsidRPr="297BACBC">
        <w:rPr>
          <w:rFonts w:asciiTheme="minorHAnsi" w:hAnsiTheme="minorHAnsi" w:eastAsiaTheme="minorEastAsia" w:cstheme="minorBidi"/>
          <w:b/>
          <w:bCs/>
          <w:color w:val="FFFFFF" w:themeColor="background1"/>
          <w:sz w:val="22"/>
          <w:szCs w:val="22"/>
        </w:rPr>
        <w:t xml:space="preserve">Targeted academic support </w:t>
      </w:r>
      <w:r w:rsidRPr="297BACBC">
        <w:rPr>
          <w:rFonts w:asciiTheme="minorHAnsi" w:hAnsiTheme="minorHAnsi" w:eastAsiaTheme="minorEastAsia" w:cstheme="minorBidi"/>
          <w:color w:val="FFFFFF" w:themeColor="background1"/>
          <w:sz w:val="22"/>
          <w:szCs w:val="22"/>
        </w:rPr>
        <w:t xml:space="preserve">(for example, </w:t>
      </w:r>
      <w:r w:rsidRPr="297BACBC" w:rsidR="00D33FE5">
        <w:rPr>
          <w:rFonts w:asciiTheme="minorHAnsi" w:hAnsiTheme="minorHAnsi" w:eastAsiaTheme="minorEastAsia" w:cstheme="minorBidi"/>
          <w:color w:val="FFFFFF" w:themeColor="background1"/>
          <w:sz w:val="22"/>
          <w:szCs w:val="22"/>
        </w:rPr>
        <w:t>tutoring, one-to-one support</w:t>
      </w:r>
      <w:r w:rsidRPr="297BACBC" w:rsidR="00E12882">
        <w:rPr>
          <w:rFonts w:asciiTheme="minorHAnsi" w:hAnsiTheme="minorHAnsi" w:eastAsiaTheme="minorEastAsia" w:cstheme="minorBidi"/>
          <w:color w:val="FFFFFF" w:themeColor="background1"/>
          <w:sz w:val="22"/>
          <w:szCs w:val="22"/>
        </w:rPr>
        <w:t>,</w:t>
      </w:r>
      <w:r w:rsidRPr="297BACBC" w:rsidR="00D33FE5">
        <w:rPr>
          <w:rFonts w:asciiTheme="minorHAnsi" w:hAnsiTheme="minorHAnsi" w:eastAsiaTheme="minorEastAsia" w:cstheme="minorBidi"/>
          <w:color w:val="FFFFFF" w:themeColor="background1"/>
          <w:sz w:val="22"/>
          <w:szCs w:val="22"/>
        </w:rPr>
        <w:t xml:space="preserve"> </w:t>
      </w:r>
      <w:r w:rsidRPr="297BACBC">
        <w:rPr>
          <w:rFonts w:asciiTheme="minorHAnsi" w:hAnsiTheme="minorHAnsi" w:eastAsiaTheme="minorEastAsia" w:cstheme="minorBidi"/>
          <w:color w:val="FFFFFF" w:themeColor="background1"/>
          <w:sz w:val="22"/>
          <w:szCs w:val="22"/>
        </w:rPr>
        <w:t xml:space="preserve">structured interventions) </w:t>
      </w:r>
    </w:p>
    <w:p w:rsidRPr="006875F8" w:rsidR="00E66558" w:rsidP="297BACBC" w:rsidRDefault="7FA3BBCD" w14:paraId="2A7D5524" w14:textId="19ACAAE9">
      <w:pPr>
        <w:rPr>
          <w:rFonts w:asciiTheme="minorHAnsi" w:hAnsiTheme="minorHAnsi" w:eastAsiaTheme="minorEastAsia" w:cstheme="minorBidi"/>
          <w:sz w:val="20"/>
          <w:szCs w:val="20"/>
        </w:rPr>
      </w:pPr>
      <w:r w:rsidRPr="4078E99F">
        <w:rPr>
          <w:rFonts w:asciiTheme="minorHAnsi" w:hAnsiTheme="minorHAnsi" w:eastAsiaTheme="minorEastAsia" w:cstheme="minorBidi"/>
          <w:sz w:val="20"/>
          <w:szCs w:val="20"/>
        </w:rPr>
        <w:t xml:space="preserve">Budgeted cost: £ </w:t>
      </w:r>
      <w:r w:rsidRPr="4078E99F" w:rsidR="301D4631">
        <w:rPr>
          <w:rFonts w:asciiTheme="minorHAnsi" w:hAnsiTheme="minorHAnsi" w:eastAsiaTheme="minorEastAsia" w:cstheme="minorBidi"/>
          <w:sz w:val="20"/>
          <w:szCs w:val="20"/>
        </w:rPr>
        <w:t>30,000</w:t>
      </w:r>
    </w:p>
    <w:tbl>
      <w:tblPr>
        <w:tblW w:w="9486" w:type="dxa"/>
        <w:tblCellMar>
          <w:left w:w="10" w:type="dxa"/>
          <w:right w:w="10" w:type="dxa"/>
        </w:tblCellMar>
        <w:tblLook w:val="04A0" w:firstRow="1" w:lastRow="0" w:firstColumn="1" w:lastColumn="0" w:noHBand="0" w:noVBand="1"/>
      </w:tblPr>
      <w:tblGrid>
        <w:gridCol w:w="2745"/>
        <w:gridCol w:w="4800"/>
        <w:gridCol w:w="1941"/>
      </w:tblGrid>
      <w:tr w:rsidRPr="006875F8" w:rsidR="00E66558" w:rsidTr="77B54B41" w14:paraId="2A7D5528"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25"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Activity</w:t>
            </w:r>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26"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Evidence that supports this approach</w:t>
            </w:r>
          </w:p>
        </w:tc>
        <w:tc>
          <w:tcPr>
            <w:tcW w:w="19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27" w14:textId="77777777">
            <w:pPr>
              <w:pStyle w:val="TableHeader"/>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Challenge number(s) addressed</w:t>
            </w:r>
          </w:p>
        </w:tc>
      </w:tr>
      <w:tr w:rsidR="77B54B41" w:rsidTr="77B54B41" w14:paraId="71147427">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F03581A" w:rsidP="77B54B41" w:rsidRDefault="3F03581A" w14:paraId="43CF8FE5" w14:textId="7AC1C0B8">
            <w:pPr>
              <w:pStyle w:val="TableRow"/>
              <w:rPr>
                <w:rFonts w:ascii="Calibri" w:hAnsi="Calibri" w:eastAsia="" w:cs="" w:asciiTheme="minorAscii" w:hAnsiTheme="minorAscii" w:eastAsiaTheme="minorEastAsia" w:cstheme="minorBidi"/>
                <w:sz w:val="22"/>
                <w:szCs w:val="22"/>
              </w:rPr>
            </w:pPr>
            <w:r w:rsidRPr="77B54B41" w:rsidR="3F03581A">
              <w:rPr>
                <w:rFonts w:ascii="Calibri" w:hAnsi="Calibri" w:eastAsia="" w:cs="" w:asciiTheme="minorAscii" w:hAnsiTheme="minorAscii" w:eastAsiaTheme="minorEastAsia" w:cstheme="minorBidi"/>
                <w:sz w:val="22"/>
                <w:szCs w:val="22"/>
              </w:rPr>
              <w:t>New assistant Head role with specific focus on assessment and narrowing the attainment gap (1 day out of class)</w:t>
            </w:r>
            <w:r w:rsidRPr="77B54B41" w:rsidR="2CB1D92E">
              <w:rPr>
                <w:rFonts w:ascii="Calibri" w:hAnsi="Calibri" w:eastAsia="" w:cs="" w:asciiTheme="minorAscii" w:hAnsiTheme="minorAscii" w:eastAsiaTheme="minorEastAsia" w:cstheme="minorBidi"/>
                <w:sz w:val="22"/>
                <w:szCs w:val="22"/>
              </w:rPr>
              <w:t xml:space="preserve"> this will be a role involving mentoring and </w:t>
            </w:r>
            <w:r w:rsidRPr="77B54B41" w:rsidR="35614562">
              <w:rPr>
                <w:rFonts w:ascii="Calibri" w:hAnsi="Calibri" w:eastAsia="" w:cs="" w:asciiTheme="minorAscii" w:hAnsiTheme="minorAscii" w:eastAsiaTheme="minorEastAsia" w:cstheme="minorBidi"/>
                <w:sz w:val="22"/>
                <w:szCs w:val="22"/>
              </w:rPr>
              <w:t>coach</w:t>
            </w:r>
            <w:r w:rsidRPr="77B54B41" w:rsidR="2CB1D92E">
              <w:rPr>
                <w:rFonts w:ascii="Calibri" w:hAnsi="Calibri" w:eastAsia="" w:cs="" w:asciiTheme="minorAscii" w:hAnsiTheme="minorAscii" w:eastAsiaTheme="minorEastAsia" w:cstheme="minorBidi"/>
                <w:sz w:val="22"/>
                <w:szCs w:val="22"/>
              </w:rPr>
              <w:t>ing other staff to motivate</w:t>
            </w:r>
            <w:r w:rsidRPr="77B54B41" w:rsidR="0F2DBE14">
              <w:rPr>
                <w:rFonts w:ascii="Calibri" w:hAnsi="Calibri" w:eastAsia="" w:cs="" w:asciiTheme="minorAscii" w:hAnsiTheme="minorAscii" w:eastAsiaTheme="minorEastAsia" w:cstheme="minorBidi"/>
                <w:sz w:val="22"/>
                <w:szCs w:val="22"/>
              </w:rPr>
              <w:t xml:space="preserve"> and support them.</w:t>
            </w:r>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CB1D92E" w:rsidP="77B54B41" w:rsidRDefault="2CB1D92E" w14:paraId="71103C92" w14:textId="0B2F0EB8">
            <w:pPr>
              <w:pStyle w:val="TableRowCentered"/>
              <w:jc w:val="left"/>
              <w:rPr>
                <w:rFonts w:ascii="Calibri" w:hAnsi="Calibri" w:eastAsia="" w:cs="" w:asciiTheme="minorAscii" w:hAnsiTheme="minorAscii" w:eastAsiaTheme="minorEastAsia" w:cstheme="minorBidi"/>
                <w:sz w:val="22"/>
                <w:szCs w:val="22"/>
              </w:rPr>
            </w:pPr>
            <w:r w:rsidRPr="77B54B41" w:rsidR="2CB1D92E">
              <w:rPr>
                <w:rFonts w:ascii="Calibri" w:hAnsi="Calibri" w:eastAsia="" w:cs="" w:asciiTheme="minorAscii" w:hAnsiTheme="minorAscii" w:eastAsiaTheme="minorEastAsia" w:cstheme="minorBidi"/>
                <w:sz w:val="22"/>
                <w:szCs w:val="22"/>
              </w:rPr>
              <w:t xml:space="preserve">EEF guidance report </w:t>
            </w:r>
            <w:r w:rsidRPr="77B54B41" w:rsidR="1387102E">
              <w:rPr>
                <w:rFonts w:ascii="Calibri" w:hAnsi="Calibri" w:eastAsia="" w:cs="" w:asciiTheme="minorAscii" w:hAnsiTheme="minorAscii" w:eastAsiaTheme="minorEastAsia" w:cstheme="minorBidi"/>
                <w:sz w:val="22"/>
                <w:szCs w:val="22"/>
              </w:rPr>
              <w:t>on</w:t>
            </w:r>
            <w:r w:rsidRPr="77B54B41" w:rsidR="2CB1D92E">
              <w:rPr>
                <w:rFonts w:ascii="Calibri" w:hAnsi="Calibri" w:eastAsia="" w:cs="" w:asciiTheme="minorAscii" w:hAnsiTheme="minorAscii" w:eastAsiaTheme="minorEastAsia" w:cstheme="minorBidi"/>
                <w:sz w:val="22"/>
                <w:szCs w:val="22"/>
              </w:rPr>
              <w:t xml:space="preserve"> Effective Professional Development</w:t>
            </w:r>
            <w:r w:rsidRPr="77B54B41" w:rsidR="52233D56">
              <w:rPr>
                <w:rFonts w:ascii="Calibri" w:hAnsi="Calibri" w:eastAsia="" w:cs="" w:asciiTheme="minorAscii" w:hAnsiTheme="minorAscii" w:eastAsiaTheme="minorEastAsia" w:cstheme="minorBidi"/>
                <w:sz w:val="22"/>
                <w:szCs w:val="22"/>
              </w:rPr>
              <w:t xml:space="preserve"> shows </w:t>
            </w:r>
            <w:r w:rsidRPr="77B54B41" w:rsidR="52233D56">
              <w:rPr>
                <w:rFonts w:ascii="Calibri" w:hAnsi="Calibri" w:eastAsia="" w:cs="" w:asciiTheme="minorAscii" w:hAnsiTheme="minorAscii" w:eastAsiaTheme="minorEastAsia" w:cstheme="minorBidi"/>
                <w:sz w:val="22"/>
                <w:szCs w:val="22"/>
              </w:rPr>
              <w:t>clear evidence</w:t>
            </w:r>
            <w:r w:rsidRPr="77B54B41" w:rsidR="52233D56">
              <w:rPr>
                <w:rFonts w:ascii="Calibri" w:hAnsi="Calibri" w:eastAsia="" w:cs="" w:asciiTheme="minorAscii" w:hAnsiTheme="minorAscii" w:eastAsiaTheme="minorEastAsia" w:cstheme="minorBidi"/>
                <w:sz w:val="22"/>
                <w:szCs w:val="22"/>
              </w:rPr>
              <w:t xml:space="preserve"> that coaching and mentoring is an effective way to support and has a positive impact.</w:t>
            </w:r>
          </w:p>
          <w:p w:rsidR="2CB1D92E" w:rsidP="77B54B41" w:rsidRDefault="2CB1D92E" w14:paraId="1D858637" w14:textId="5BD04A43">
            <w:pPr>
              <w:pStyle w:val="TableRowCentered"/>
              <w:jc w:val="left"/>
            </w:pPr>
            <w:hyperlink r:id="R2d2e1d9ba02b468b">
              <w:r w:rsidRPr="77B54B41" w:rsidR="2CB1D92E">
                <w:rPr>
                  <w:rStyle w:val="Hyperlink"/>
                  <w:rFonts w:ascii="Calibri" w:hAnsi="Calibri" w:eastAsia="" w:cs="" w:asciiTheme="minorAscii" w:hAnsiTheme="minorAscii" w:eastAsiaTheme="minorEastAsia" w:cstheme="minorBidi"/>
                </w:rPr>
                <w:t>https://educationendowmentfoundation.org.uk/educationevidence/guidance-reports/effective-professional-development</w:t>
              </w:r>
            </w:hyperlink>
            <w:r w:rsidRPr="77B54B41" w:rsidR="29E2B3CB">
              <w:rPr>
                <w:rFonts w:ascii="Calibri" w:hAnsi="Calibri" w:eastAsia="" w:cs="" w:asciiTheme="minorAscii" w:hAnsiTheme="minorAscii" w:eastAsiaTheme="minorEastAsia" w:cstheme="minorBidi"/>
                <w:sz w:val="22"/>
                <w:szCs w:val="22"/>
              </w:rPr>
              <w:t xml:space="preserve"> </w:t>
            </w:r>
          </w:p>
        </w:tc>
        <w:tc>
          <w:tcPr>
            <w:tcW w:w="19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9E2B3CB" w:rsidP="77B54B41" w:rsidRDefault="29E2B3CB" w14:paraId="201B4E5D" w14:textId="50224B82">
            <w:pPr>
              <w:pStyle w:val="TableRowCentered"/>
              <w:jc w:val="left"/>
              <w:rPr>
                <w:rFonts w:ascii="Calibri" w:hAnsi="Calibri" w:eastAsia="" w:cs="" w:asciiTheme="minorAscii" w:hAnsiTheme="minorAscii" w:eastAsiaTheme="minorEastAsia" w:cstheme="minorBidi"/>
                <w:sz w:val="22"/>
                <w:szCs w:val="22"/>
              </w:rPr>
            </w:pPr>
            <w:r w:rsidRPr="77B54B41" w:rsidR="29E2B3CB">
              <w:rPr>
                <w:rFonts w:ascii="Calibri" w:hAnsi="Calibri" w:eastAsia="" w:cs="" w:asciiTheme="minorAscii" w:hAnsiTheme="minorAscii" w:eastAsiaTheme="minorEastAsia" w:cstheme="minorBidi"/>
                <w:sz w:val="22"/>
                <w:szCs w:val="22"/>
              </w:rPr>
              <w:t>1, 2, 3, 4</w:t>
            </w:r>
          </w:p>
        </w:tc>
      </w:tr>
      <w:tr w:rsidRPr="006875F8" w:rsidR="00E66558" w:rsidTr="77B54B41" w14:paraId="2A7D552C"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FF6E6B" w:rsidP="297BACBC" w:rsidRDefault="24A31D46" w14:paraId="2A7D5529" w14:textId="62DC4BC1">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Small group and/or one to one tuition with particular focus on (dependent on year group) phonics, reading, writing arithmetic/basic maths skills. These will be taught by experienced qualified teachers</w:t>
            </w:r>
            <w:r w:rsidRPr="297BACBC" w:rsidR="1EF62D51">
              <w:rPr>
                <w:rFonts w:asciiTheme="minorHAnsi" w:hAnsiTheme="minorHAnsi" w:eastAsiaTheme="minorEastAsia" w:cstheme="minorBidi"/>
                <w:sz w:val="22"/>
                <w:szCs w:val="22"/>
              </w:rPr>
              <w:t>/</w:t>
            </w:r>
            <w:r w:rsidRPr="297BACBC">
              <w:rPr>
                <w:rFonts w:asciiTheme="minorHAnsi" w:hAnsiTheme="minorHAnsi" w:eastAsiaTheme="minorEastAsia" w:cstheme="minorBidi"/>
                <w:sz w:val="22"/>
                <w:szCs w:val="22"/>
              </w:rPr>
              <w:t>TA</w:t>
            </w:r>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24A31D46" w14:paraId="2A7D552A" w14:textId="3E8CC56E">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Meta-Analysis of research by John Hattie breaks down quality teaching into: Pupils having clear goals/objectives. Teachers providing pupils with modelling/scaffolding/appropriate steps to achieve them.</w:t>
            </w:r>
          </w:p>
        </w:tc>
        <w:tc>
          <w:tcPr>
            <w:tcW w:w="19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B00522D" w14:paraId="2A7D552B" w14:textId="4546DA53">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1,</w:t>
            </w:r>
            <w:r w:rsidRPr="7D08D74D" w:rsidR="1C60C374">
              <w:rPr>
                <w:rFonts w:asciiTheme="minorHAnsi" w:hAnsiTheme="minorHAnsi" w:eastAsiaTheme="minorEastAsia" w:cstheme="minorBidi"/>
                <w:sz w:val="22"/>
                <w:szCs w:val="22"/>
              </w:rPr>
              <w:t xml:space="preserve"> 2</w:t>
            </w:r>
          </w:p>
        </w:tc>
      </w:tr>
      <w:tr w:rsidRPr="006875F8" w:rsidR="00E12882" w:rsidTr="77B54B41" w14:paraId="48FD27F2" w14:textId="77777777">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12882" w:rsidP="297BACBC" w:rsidRDefault="11B93FF6" w14:paraId="012BA8E5" w14:textId="4F3C2D8C">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Reading Assessment Programme to be delivered for disadvantaged pupils to bridge gaps in knowledge</w:t>
            </w:r>
          </w:p>
          <w:p w:rsidRPr="006875F8" w:rsidR="00E12882" w:rsidP="297BACBC" w:rsidRDefault="00E12882" w14:paraId="3ADC13AB" w14:textId="08210507">
            <w:pPr>
              <w:pStyle w:val="TableRow"/>
              <w:rPr>
                <w:rFonts w:asciiTheme="minorHAnsi" w:hAnsiTheme="minorHAnsi" w:eastAsiaTheme="minorEastAsia" w:cstheme="minorBidi"/>
                <w:sz w:val="22"/>
                <w:szCs w:val="22"/>
              </w:rPr>
            </w:pPr>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12882" w:rsidP="7D08D74D" w:rsidRDefault="75211B28" w14:paraId="162B84A7" w14:textId="7FA2FC13">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color w:val="535353"/>
                <w:sz w:val="22"/>
                <w:szCs w:val="22"/>
              </w:rPr>
              <w:t>FFT's Reading Assessment Programme is a simple and effective online assessment tool designed to assess pupils on their GPC Accuracy, Decoding Accuracy and Fluency Levels</w:t>
            </w:r>
          </w:p>
          <w:p w:rsidRPr="006875F8" w:rsidR="00E12882" w:rsidP="297BACBC" w:rsidRDefault="00933939" w14:paraId="27EB6263" w14:textId="272A84FF">
            <w:pPr>
              <w:pStyle w:val="TableRowCentered"/>
              <w:jc w:val="left"/>
              <w:rPr>
                <w:rFonts w:asciiTheme="minorHAnsi" w:hAnsiTheme="minorHAnsi" w:eastAsiaTheme="minorEastAsia" w:cstheme="minorBidi"/>
                <w:sz w:val="22"/>
                <w:szCs w:val="22"/>
              </w:rPr>
            </w:pPr>
            <w:hyperlink r:id="rId15">
              <w:r w:rsidRPr="7D08D74D" w:rsidR="2AE6EEA8">
                <w:rPr>
                  <w:rStyle w:val="Hyperlink"/>
                  <w:rFonts w:asciiTheme="minorHAnsi" w:hAnsiTheme="minorHAnsi" w:eastAsiaTheme="minorEastAsia" w:cstheme="minorBidi"/>
                </w:rPr>
                <w:t>https://fft.org.uk/literacy/reading-assessment-programme/</w:t>
              </w:r>
            </w:hyperlink>
            <w:r w:rsidRPr="7D08D74D" w:rsidR="2AE6EEA8">
              <w:rPr>
                <w:rFonts w:asciiTheme="minorHAnsi" w:hAnsiTheme="minorHAnsi" w:eastAsiaTheme="minorEastAsia" w:cstheme="minorBidi"/>
                <w:sz w:val="22"/>
                <w:szCs w:val="22"/>
              </w:rPr>
              <w:t xml:space="preserve"> </w:t>
            </w:r>
          </w:p>
        </w:tc>
        <w:tc>
          <w:tcPr>
            <w:tcW w:w="19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12882" w:rsidP="297BACBC" w:rsidRDefault="4FD36075" w14:paraId="0C2A2C96" w14:textId="5B7F4910">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1, 2</w:t>
            </w:r>
          </w:p>
        </w:tc>
      </w:tr>
      <w:tr w:rsidR="182DDB3E" w:rsidTr="77B54B41" w14:paraId="00A0CD66" w14:textId="77777777">
        <w:trPr>
          <w:trHeight w:val="300"/>
        </w:trPr>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84EDA1B" w:rsidP="297BACBC" w:rsidRDefault="11B93FF6" w14:paraId="2E27E226" w14:textId="35F5D891">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Little </w:t>
            </w:r>
            <w:proofErr w:type="spellStart"/>
            <w:r w:rsidRPr="297BACBC">
              <w:rPr>
                <w:rFonts w:asciiTheme="minorHAnsi" w:hAnsiTheme="minorHAnsi" w:eastAsiaTheme="minorEastAsia" w:cstheme="minorBidi"/>
                <w:sz w:val="22"/>
                <w:szCs w:val="22"/>
              </w:rPr>
              <w:t>Wandle</w:t>
            </w:r>
            <w:proofErr w:type="spellEnd"/>
            <w:r w:rsidRPr="297BACBC">
              <w:rPr>
                <w:rFonts w:asciiTheme="minorHAnsi" w:hAnsiTheme="minorHAnsi" w:eastAsiaTheme="minorEastAsia" w:cstheme="minorBidi"/>
                <w:sz w:val="22"/>
                <w:szCs w:val="22"/>
              </w:rPr>
              <w:t xml:space="preserve"> interventions – fluency, catch up – speci</w:t>
            </w:r>
            <w:r w:rsidRPr="297BACBC" w:rsidR="45DE3850">
              <w:rPr>
                <w:rFonts w:asciiTheme="minorHAnsi" w:hAnsiTheme="minorHAnsi" w:eastAsiaTheme="minorEastAsia" w:cstheme="minorBidi"/>
                <w:sz w:val="22"/>
                <w:szCs w:val="22"/>
              </w:rPr>
              <w:t>f</w:t>
            </w:r>
            <w:r w:rsidRPr="297BACBC">
              <w:rPr>
                <w:rFonts w:asciiTheme="minorHAnsi" w:hAnsiTheme="minorHAnsi" w:eastAsiaTheme="minorEastAsia" w:cstheme="minorBidi"/>
                <w:sz w:val="22"/>
                <w:szCs w:val="22"/>
              </w:rPr>
              <w:t>i</w:t>
            </w:r>
            <w:r w:rsidRPr="297BACBC" w:rsidR="4AC6FA0F">
              <w:rPr>
                <w:rFonts w:asciiTheme="minorHAnsi" w:hAnsiTheme="minorHAnsi" w:eastAsiaTheme="minorEastAsia" w:cstheme="minorBidi"/>
                <w:sz w:val="22"/>
                <w:szCs w:val="22"/>
              </w:rPr>
              <w:t>c</w:t>
            </w:r>
            <w:r w:rsidRPr="297BACBC">
              <w:rPr>
                <w:rFonts w:asciiTheme="minorHAnsi" w:hAnsiTheme="minorHAnsi" w:eastAsiaTheme="minorEastAsia" w:cstheme="minorBidi"/>
                <w:sz w:val="22"/>
                <w:szCs w:val="22"/>
              </w:rPr>
              <w:t>ally identified interventions through tracking of pho</w:t>
            </w:r>
            <w:r w:rsidRPr="297BACBC" w:rsidR="5B7E5418">
              <w:rPr>
                <w:rFonts w:asciiTheme="minorHAnsi" w:hAnsiTheme="minorHAnsi" w:eastAsiaTheme="minorEastAsia" w:cstheme="minorBidi"/>
                <w:sz w:val="22"/>
                <w:szCs w:val="22"/>
              </w:rPr>
              <w:t>nics data</w:t>
            </w:r>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7D08D74D" w:rsidRDefault="5CBD1318" w14:paraId="16CFDA58" w14:textId="4AB91E77">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color w:val="000000" w:themeColor="text1"/>
                <w:sz w:val="22"/>
                <w:szCs w:val="22"/>
              </w:rPr>
              <w:t>Rapid Catch-up lessons use the same content as the core programme delivered at a quicker pace, these ensure children can grow their language and become fluent readers</w:t>
            </w:r>
          </w:p>
          <w:p w:rsidR="182DDB3E" w:rsidP="297BACBC" w:rsidRDefault="00933939" w14:paraId="0B9DACB5" w14:textId="7477EDB7">
            <w:pPr>
              <w:pStyle w:val="TableRowCentered"/>
              <w:jc w:val="left"/>
              <w:rPr>
                <w:rFonts w:asciiTheme="minorHAnsi" w:hAnsiTheme="minorHAnsi" w:eastAsiaTheme="minorEastAsia" w:cstheme="minorBidi"/>
                <w:sz w:val="22"/>
                <w:szCs w:val="22"/>
              </w:rPr>
            </w:pPr>
            <w:hyperlink r:id="rId16">
              <w:r w:rsidRPr="7D08D74D" w:rsidR="6C7E85E3">
                <w:rPr>
                  <w:rStyle w:val="Hyperlink"/>
                  <w:rFonts w:asciiTheme="minorHAnsi" w:hAnsiTheme="minorHAnsi" w:eastAsiaTheme="minorEastAsia" w:cstheme="minorBidi"/>
                </w:rPr>
                <w:t>https://www.littlewandlelettersandsounds.org.uk/</w:t>
              </w:r>
            </w:hyperlink>
            <w:r w:rsidRPr="7D08D74D" w:rsidR="6C7E85E3">
              <w:rPr>
                <w:rFonts w:asciiTheme="minorHAnsi" w:hAnsiTheme="minorHAnsi" w:eastAsiaTheme="minorEastAsia" w:cstheme="minorBidi"/>
                <w:sz w:val="22"/>
                <w:szCs w:val="22"/>
              </w:rPr>
              <w:t xml:space="preserve"> </w:t>
            </w:r>
          </w:p>
        </w:tc>
        <w:tc>
          <w:tcPr>
            <w:tcW w:w="19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297BACBC" w:rsidRDefault="75CC9307" w14:paraId="3409FE19" w14:textId="7BB67198">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1, 2</w:t>
            </w:r>
          </w:p>
        </w:tc>
      </w:tr>
    </w:tbl>
    <w:p w:rsidRPr="006875F8" w:rsidR="00E66558" w:rsidP="297BACBC" w:rsidRDefault="00E66558" w14:paraId="2A7D5531" w14:textId="77777777">
      <w:pPr>
        <w:spacing w:after="0"/>
        <w:rPr>
          <w:rFonts w:asciiTheme="minorHAnsi" w:hAnsiTheme="minorHAnsi" w:eastAsiaTheme="minorEastAsia" w:cstheme="minorBidi"/>
          <w:b/>
          <w:bCs/>
          <w:color w:val="104F75"/>
          <w:sz w:val="22"/>
          <w:szCs w:val="22"/>
        </w:rPr>
      </w:pPr>
    </w:p>
    <w:p w:rsidRPr="006875F8" w:rsidR="00E66558" w:rsidP="297BACBC" w:rsidRDefault="009D71E8" w14:paraId="2A7D5532" w14:textId="59A68BC3">
      <w:pPr>
        <w:shd w:val="clear" w:color="auto" w:fill="808080" w:themeFill="background1" w:themeFillShade="80"/>
        <w:rPr>
          <w:rFonts w:asciiTheme="minorHAnsi" w:hAnsiTheme="minorHAnsi" w:eastAsiaTheme="minorEastAsia" w:cstheme="minorBidi"/>
          <w:b/>
          <w:bCs/>
          <w:color w:val="FFFFFF" w:themeColor="background1"/>
          <w:sz w:val="22"/>
          <w:szCs w:val="22"/>
        </w:rPr>
      </w:pPr>
      <w:r w:rsidRPr="297BACBC">
        <w:rPr>
          <w:rFonts w:asciiTheme="minorHAnsi" w:hAnsiTheme="minorHAnsi" w:eastAsiaTheme="minorEastAsia" w:cstheme="minorBidi"/>
          <w:b/>
          <w:bCs/>
          <w:color w:val="FFFFFF" w:themeColor="background1"/>
          <w:sz w:val="22"/>
          <w:szCs w:val="22"/>
        </w:rPr>
        <w:t xml:space="preserve">Wider strategies </w:t>
      </w:r>
      <w:r w:rsidRPr="297BACBC">
        <w:rPr>
          <w:rFonts w:asciiTheme="minorHAnsi" w:hAnsiTheme="minorHAnsi" w:eastAsiaTheme="minorEastAsia" w:cstheme="minorBidi"/>
          <w:color w:val="FFFFFF" w:themeColor="background1"/>
          <w:sz w:val="22"/>
          <w:szCs w:val="22"/>
        </w:rPr>
        <w:t>(for example, related to attendance, behaviour, wellbeing)</w:t>
      </w:r>
    </w:p>
    <w:p w:rsidRPr="006875F8" w:rsidR="00E66558" w:rsidP="297BACBC" w:rsidRDefault="7FA3BBCD" w14:paraId="2A7D5533" w14:textId="1DD50C03">
      <w:pPr>
        <w:spacing w:before="240" w:after="120"/>
        <w:rPr>
          <w:rFonts w:asciiTheme="minorHAnsi" w:hAnsiTheme="minorHAnsi" w:eastAsiaTheme="minorEastAsia" w:cstheme="minorBidi"/>
          <w:sz w:val="20"/>
          <w:szCs w:val="20"/>
        </w:rPr>
      </w:pPr>
      <w:r w:rsidRPr="4078E99F">
        <w:rPr>
          <w:rFonts w:asciiTheme="minorHAnsi" w:hAnsiTheme="minorHAnsi" w:eastAsiaTheme="minorEastAsia" w:cstheme="minorBidi"/>
          <w:sz w:val="20"/>
          <w:szCs w:val="20"/>
        </w:rPr>
        <w:t xml:space="preserve">Budgeted cost: £ </w:t>
      </w:r>
      <w:r w:rsidRPr="4078E99F" w:rsidR="78E41303">
        <w:rPr>
          <w:rFonts w:asciiTheme="minorHAnsi" w:hAnsiTheme="minorHAnsi" w:eastAsiaTheme="minorEastAsia" w:cstheme="minorBidi"/>
          <w:sz w:val="20"/>
          <w:szCs w:val="20"/>
        </w:rPr>
        <w:t>70,000</w:t>
      </w:r>
    </w:p>
    <w:tbl>
      <w:tblPr>
        <w:tblW w:w="9486" w:type="dxa"/>
        <w:tblLayout w:type="fixed"/>
        <w:tblCellMar>
          <w:left w:w="10" w:type="dxa"/>
          <w:right w:w="10" w:type="dxa"/>
        </w:tblCellMar>
        <w:tblLook w:val="04A0" w:firstRow="1" w:lastRow="0" w:firstColumn="1" w:lastColumn="0" w:noHBand="0" w:noVBand="1"/>
      </w:tblPr>
      <w:tblGrid>
        <w:gridCol w:w="2730"/>
        <w:gridCol w:w="4779"/>
        <w:gridCol w:w="1977"/>
      </w:tblGrid>
      <w:tr w:rsidRPr="006875F8" w:rsidR="00E66558" w:rsidTr="77B54B41" w14:paraId="2A7D5537" w14:textId="77777777">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34"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Activity</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35"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Evidence that supports this approach</w:t>
            </w: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36"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Challenge number(s) addressed</w:t>
            </w:r>
          </w:p>
        </w:tc>
      </w:tr>
      <w:tr w:rsidRPr="006875F8" w:rsidR="00E66558" w:rsidTr="77B54B41" w14:paraId="2A7D553B" w14:textId="77777777">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CF6E1C" w:rsidP="77B54B41" w:rsidRDefault="396D2E60" w14:paraId="2A7D5538" w14:textId="0CF6D0F5">
            <w:pPr>
              <w:pStyle w:val="TableRow"/>
              <w:ind w:left="0"/>
              <w:rPr>
                <w:rFonts w:ascii="Calibri" w:hAnsi="Calibri" w:eastAsia="" w:cs="" w:asciiTheme="minorAscii" w:hAnsiTheme="minorAscii" w:eastAsiaTheme="minorEastAsia" w:cstheme="minorBidi"/>
                <w:sz w:val="22"/>
                <w:szCs w:val="22"/>
              </w:rPr>
            </w:pPr>
            <w:r w:rsidRPr="77B54B41" w:rsidR="3FEB92DA">
              <w:rPr>
                <w:rFonts w:ascii="Calibri" w:hAnsi="Calibri" w:eastAsia="" w:cs="" w:asciiTheme="minorAscii" w:hAnsiTheme="minorAscii" w:eastAsiaTheme="minorEastAsia" w:cstheme="minorBidi"/>
                <w:sz w:val="22"/>
                <w:szCs w:val="22"/>
              </w:rPr>
              <w:t xml:space="preserve">Thrive Learning Mentor and 1 to 1 support work on children’s individual action plans Whole school Thrive – Thrive assessments for all pupils to </w:t>
            </w:r>
            <w:r w:rsidRPr="77B54B41" w:rsidR="3FEB92DA">
              <w:rPr>
                <w:rFonts w:ascii="Calibri" w:hAnsi="Calibri" w:eastAsia="" w:cs="" w:asciiTheme="minorAscii" w:hAnsiTheme="minorAscii" w:eastAsiaTheme="minorEastAsia" w:cstheme="minorBidi"/>
                <w:sz w:val="22"/>
                <w:szCs w:val="22"/>
              </w:rPr>
              <w:t>identify</w:t>
            </w:r>
            <w:r w:rsidRPr="77B54B41" w:rsidR="3FEB92DA">
              <w:rPr>
                <w:rFonts w:ascii="Calibri" w:hAnsi="Calibri" w:eastAsia="" w:cs="" w:asciiTheme="minorAscii" w:hAnsiTheme="minorAscii" w:eastAsiaTheme="minorEastAsia" w:cstheme="minorBidi"/>
                <w:sz w:val="22"/>
                <w:szCs w:val="22"/>
              </w:rPr>
              <w:t xml:space="preserve"> social and emotional needs and develop class/individual plans to develop organisation, commitment, </w:t>
            </w:r>
            <w:r w:rsidRPr="77B54B41" w:rsidR="3FEB92DA">
              <w:rPr>
                <w:rFonts w:ascii="Calibri" w:hAnsi="Calibri" w:eastAsia="" w:cs="" w:asciiTheme="minorAscii" w:hAnsiTheme="minorAscii" w:eastAsiaTheme="minorEastAsia" w:cstheme="minorBidi"/>
                <w:sz w:val="22"/>
                <w:szCs w:val="22"/>
              </w:rPr>
              <w:t>resilience</w:t>
            </w:r>
            <w:r w:rsidRPr="77B54B41" w:rsidR="3FEB92DA">
              <w:rPr>
                <w:rFonts w:ascii="Calibri" w:hAnsi="Calibri" w:eastAsia="" w:cs="" w:asciiTheme="minorAscii" w:hAnsiTheme="minorAscii" w:eastAsiaTheme="minorEastAsia" w:cstheme="minorBidi"/>
                <w:sz w:val="22"/>
                <w:szCs w:val="22"/>
              </w:rPr>
              <w:t xml:space="preserve"> and </w:t>
            </w:r>
            <w:r w:rsidRPr="77B54B41" w:rsidR="3FEB92DA">
              <w:rPr>
                <w:rFonts w:ascii="Calibri" w:hAnsi="Calibri" w:eastAsia="" w:cs="" w:asciiTheme="minorAscii" w:hAnsiTheme="minorAscii" w:eastAsiaTheme="minorEastAsia" w:cstheme="minorBidi"/>
                <w:sz w:val="22"/>
                <w:szCs w:val="22"/>
              </w:rPr>
              <w:t>self regulation</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3B2F61" w:rsidP="30353947" w:rsidRDefault="0699AA6B" w14:paraId="2A7D5539" w14:textId="156A88C7">
            <w:pPr>
              <w:pStyle w:val="TableRowCentered"/>
              <w:jc w:val="left"/>
              <w:rPr>
                <w:rFonts w:asciiTheme="minorHAnsi" w:hAnsiTheme="minorHAnsi" w:eastAsiaTheme="minorEastAsia" w:cstheme="minorBidi"/>
                <w:sz w:val="22"/>
                <w:szCs w:val="22"/>
              </w:rPr>
            </w:pPr>
            <w:r w:rsidRPr="30353947">
              <w:rPr>
                <w:rFonts w:asciiTheme="minorHAnsi" w:hAnsiTheme="minorHAnsi" w:eastAsiaTheme="minorEastAsia" w:cstheme="minorBidi"/>
                <w:sz w:val="22"/>
                <w:szCs w:val="22"/>
              </w:rPr>
              <w:t xml:space="preserve">Thrive Pupils are supported with their individual emotional needs as identified </w:t>
            </w:r>
            <w:r w:rsidRPr="30353947" w:rsidR="53AAC924">
              <w:rPr>
                <w:rFonts w:asciiTheme="minorHAnsi" w:hAnsiTheme="minorHAnsi" w:eastAsiaTheme="minorEastAsia" w:cstheme="minorBidi"/>
                <w:sz w:val="22"/>
                <w:szCs w:val="22"/>
              </w:rPr>
              <w:t xml:space="preserve">through </w:t>
            </w:r>
            <w:r w:rsidRPr="30353947">
              <w:rPr>
                <w:rFonts w:asciiTheme="minorHAnsi" w:hAnsiTheme="minorHAnsi" w:eastAsiaTheme="minorEastAsia" w:cstheme="minorBidi"/>
                <w:sz w:val="22"/>
                <w:szCs w:val="22"/>
              </w:rPr>
              <w:t>Thrive assessment</w:t>
            </w:r>
            <w:r w:rsidRPr="30353947" w:rsidR="1B8DF3F5">
              <w:rPr>
                <w:rFonts w:asciiTheme="minorHAnsi" w:hAnsiTheme="minorHAnsi" w:eastAsiaTheme="minorEastAsia" w:cstheme="minorBidi"/>
                <w:sz w:val="22"/>
                <w:szCs w:val="22"/>
              </w:rPr>
              <w:t>s</w:t>
            </w:r>
            <w:r w:rsidRPr="30353947">
              <w:rPr>
                <w:rFonts w:asciiTheme="minorHAnsi" w:hAnsiTheme="minorHAnsi" w:eastAsiaTheme="minorEastAsia" w:cstheme="minorBidi"/>
                <w:sz w:val="22"/>
                <w:szCs w:val="22"/>
              </w:rPr>
              <w:t>. ‘Scientists have discovered that the neural pathways of the brain and wider nervous system are relatively unformed at birth, undergoing much of their development during the first three years of life in response to relational experiences with primary caregivers. A key development during this period is the establishment of the body’s stress response system. It remains possible to intervene at a later stage to fill the gaps if this is under developed’</w:t>
            </w: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D08D74D" w:rsidRDefault="2BF9A469" w14:paraId="2A7D553A" w14:textId="71E5FEA4">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3</w:t>
            </w:r>
            <w:bookmarkStart w:name="_GoBack" w:id="17"/>
            <w:bookmarkEnd w:id="17"/>
          </w:p>
        </w:tc>
      </w:tr>
      <w:tr w:rsidR="182DDB3E" w:rsidTr="77B54B41" w14:paraId="4BDA32F3" w14:textId="77777777">
        <w:trPr>
          <w:trHeight w:val="300"/>
        </w:trPr>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D515FBA" w:rsidP="77B54B41" w:rsidRDefault="47BE9E36" w14:paraId="2C461F81" w14:textId="03C225F3">
            <w:pPr>
              <w:pStyle w:val="TableRow"/>
              <w:rPr>
                <w:rFonts w:ascii="Calibri" w:hAnsi="Calibri" w:eastAsia="" w:cs="" w:asciiTheme="minorAscii" w:hAnsiTheme="minorAscii" w:eastAsiaTheme="minorEastAsia" w:cstheme="minorBidi"/>
                <w:sz w:val="22"/>
                <w:szCs w:val="22"/>
              </w:rPr>
            </w:pPr>
            <w:r w:rsidRPr="77B54B41" w:rsidR="6230AF2C">
              <w:rPr>
                <w:rFonts w:ascii="Calibri" w:hAnsi="Calibri" w:eastAsia="" w:cs="" w:asciiTheme="minorAscii" w:hAnsiTheme="minorAscii" w:eastAsiaTheme="minorEastAsia" w:cstheme="minorBidi"/>
                <w:sz w:val="22"/>
                <w:szCs w:val="22"/>
              </w:rPr>
              <w:t>Attendance officer</w:t>
            </w:r>
            <w:r w:rsidRPr="77B54B41" w:rsidR="4851086E">
              <w:rPr>
                <w:rFonts w:ascii="Calibri" w:hAnsi="Calibri" w:eastAsia="" w:cs="" w:asciiTheme="minorAscii" w:hAnsiTheme="minorAscii" w:eastAsiaTheme="minorEastAsia" w:cstheme="minorBidi"/>
                <w:sz w:val="22"/>
                <w:szCs w:val="22"/>
              </w:rPr>
              <w:t xml:space="preserve"> </w:t>
            </w:r>
            <w:r w:rsidRPr="77B54B41" w:rsidR="501BFCD9">
              <w:rPr>
                <w:rFonts w:ascii="Calibri" w:hAnsi="Calibri" w:eastAsia="" w:cs="" w:asciiTheme="minorAscii" w:hAnsiTheme="minorAscii" w:eastAsiaTheme="minorEastAsia" w:cstheme="minorBidi"/>
                <w:sz w:val="22"/>
                <w:szCs w:val="22"/>
              </w:rPr>
              <w:t>and Deputy head</w:t>
            </w:r>
            <w:r w:rsidRPr="77B54B41" w:rsidR="6230AF2C">
              <w:rPr>
                <w:rFonts w:ascii="Calibri" w:hAnsi="Calibri" w:eastAsia="" w:cs="" w:asciiTheme="minorAscii" w:hAnsiTheme="minorAscii" w:eastAsiaTheme="minorEastAsia" w:cstheme="minorBidi"/>
                <w:sz w:val="22"/>
                <w:szCs w:val="22"/>
              </w:rPr>
              <w:t xml:space="preserve"> work as a team to focus on attendance</w:t>
            </w:r>
            <w:r w:rsidRPr="77B54B41" w:rsidR="148CC5DF">
              <w:rPr>
                <w:rFonts w:ascii="Calibri" w:hAnsi="Calibri" w:eastAsia="" w:cs="" w:asciiTheme="minorAscii" w:hAnsiTheme="minorAscii" w:eastAsiaTheme="minorEastAsia" w:cstheme="minorBidi"/>
                <w:sz w:val="22"/>
                <w:szCs w:val="22"/>
              </w:rPr>
              <w:t xml:space="preserve"> and track persistent absenteeism.</w:t>
            </w:r>
            <w:r w:rsidRPr="77B54B41" w:rsidR="3D2F7935">
              <w:rPr>
                <w:rFonts w:ascii="Calibri" w:hAnsi="Calibri" w:eastAsia="" w:cs="" w:asciiTheme="minorAscii" w:hAnsiTheme="minorAscii" w:eastAsiaTheme="minorEastAsia" w:cstheme="minorBidi"/>
                <w:sz w:val="22"/>
                <w:szCs w:val="22"/>
              </w:rPr>
              <w:t xml:space="preserve"> Attendance </w:t>
            </w:r>
            <w:r w:rsidRPr="77B54B41" w:rsidR="3D2F7935">
              <w:rPr>
                <w:rFonts w:ascii="Calibri" w:hAnsi="Calibri" w:eastAsia="" w:cs="" w:asciiTheme="minorAscii" w:hAnsiTheme="minorAscii" w:eastAsiaTheme="minorEastAsia" w:cstheme="minorBidi"/>
                <w:sz w:val="22"/>
                <w:szCs w:val="22"/>
              </w:rPr>
              <w:t>monitored</w:t>
            </w:r>
            <w:r w:rsidRPr="77B54B41" w:rsidR="3D2F7935">
              <w:rPr>
                <w:rFonts w:ascii="Calibri" w:hAnsi="Calibri" w:eastAsia="" w:cs="" w:asciiTheme="minorAscii" w:hAnsiTheme="minorAscii" w:eastAsiaTheme="minorEastAsia" w:cstheme="minorBidi"/>
                <w:sz w:val="22"/>
                <w:szCs w:val="22"/>
              </w:rPr>
              <w:t xml:space="preserve"> at class level through vulnerability trackers. </w:t>
            </w:r>
            <w:r w:rsidRPr="77B54B41" w:rsidR="6230AF2C">
              <w:rPr>
                <w:rFonts w:ascii="Calibri" w:hAnsi="Calibri" w:eastAsia="" w:cs="" w:asciiTheme="minorAscii" w:hAnsiTheme="minorAscii" w:eastAsiaTheme="minorEastAsia" w:cstheme="minorBidi"/>
                <w:sz w:val="22"/>
                <w:szCs w:val="22"/>
              </w:rPr>
              <w:t>Tracking and actions put in place with short term goals.</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30353947" w:rsidRDefault="182DDB3E" w14:paraId="6E02FE0B" w14:textId="3B0A9A21">
            <w:pPr>
              <w:pStyle w:val="TableRowCentered"/>
              <w:jc w:val="left"/>
              <w:rPr>
                <w:rFonts w:asciiTheme="minorHAnsi" w:hAnsiTheme="minorHAnsi" w:eastAsiaTheme="minorEastAsia" w:cstheme="minorBidi"/>
                <w:sz w:val="22"/>
                <w:szCs w:val="22"/>
              </w:rPr>
            </w:pPr>
          </w:p>
          <w:p w:rsidR="182DDB3E" w:rsidP="30353947" w:rsidRDefault="00933939" w14:paraId="35DA03C8" w14:textId="0BE2504E">
            <w:pPr>
              <w:pStyle w:val="TableRowCentered"/>
              <w:jc w:val="left"/>
              <w:rPr>
                <w:rFonts w:asciiTheme="minorHAnsi" w:hAnsiTheme="minorHAnsi" w:eastAsiaTheme="minorEastAsia" w:cstheme="minorBidi"/>
                <w:sz w:val="22"/>
                <w:szCs w:val="22"/>
              </w:rPr>
            </w:pPr>
            <w:hyperlink r:id="rId17">
              <w:r w:rsidRPr="30353947" w:rsidR="0B30393B">
                <w:rPr>
                  <w:rStyle w:val="Hyperlink"/>
                  <w:rFonts w:asciiTheme="minorHAnsi" w:hAnsiTheme="minorHAnsi" w:eastAsiaTheme="minorEastAsia" w:cstheme="minorBidi"/>
                </w:rPr>
                <w:t>https://assets.publishing.service.gov.uk/government/uploads/system/uploads/attachment_data/file/1099677/Working_together_to_improve_school_attendance.pdf</w:t>
              </w:r>
            </w:hyperlink>
          </w:p>
          <w:p w:rsidR="182DDB3E" w:rsidP="30353947" w:rsidRDefault="182DDB3E" w14:paraId="198B74BF" w14:textId="18D4F411">
            <w:pPr>
              <w:pStyle w:val="TableRowCentered"/>
              <w:jc w:val="left"/>
              <w:rPr>
                <w:rFonts w:asciiTheme="minorHAnsi" w:hAnsiTheme="minorHAnsi" w:eastAsiaTheme="minorEastAsia" w:cstheme="minorBidi"/>
                <w:sz w:val="22"/>
                <w:szCs w:val="22"/>
              </w:rPr>
            </w:pP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7D08D74D" w:rsidRDefault="03AA3567" w14:paraId="6954FAEA" w14:textId="2BDD907D">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4</w:t>
            </w:r>
          </w:p>
        </w:tc>
      </w:tr>
      <w:tr w:rsidR="182DDB3E" w:rsidTr="77B54B41" w14:paraId="60683CB2" w14:textId="77777777">
        <w:trPr>
          <w:trHeight w:val="300"/>
        </w:trPr>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657E58" w:rsidP="297BACBC" w:rsidRDefault="24ABEB5F" w14:paraId="207ADC38" w14:textId="62B2CFF0">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Develop the role of parent family support worker within school to further strengthen relationships with families</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30353947" w:rsidRDefault="1677FFFB" w14:paraId="0406444F" w14:textId="38765FAF">
            <w:pPr>
              <w:pStyle w:val="TableRowCentered"/>
              <w:jc w:val="left"/>
              <w:rPr>
                <w:rFonts w:asciiTheme="minorHAnsi" w:hAnsiTheme="minorHAnsi" w:eastAsiaTheme="minorEastAsia" w:cstheme="minorBidi"/>
                <w:sz w:val="22"/>
                <w:szCs w:val="22"/>
              </w:rPr>
            </w:pPr>
            <w:r w:rsidRPr="30353947">
              <w:rPr>
                <w:rFonts w:asciiTheme="minorHAnsi" w:hAnsiTheme="minorHAnsi" w:eastAsiaTheme="minorEastAsia" w:cstheme="minorBidi"/>
                <w:sz w:val="22"/>
                <w:szCs w:val="22"/>
              </w:rPr>
              <w:t>Parental engagement has a positive impact on average of 4 months’ additional progress – EEF.</w:t>
            </w:r>
          </w:p>
          <w:p w:rsidR="182DDB3E" w:rsidP="30353947" w:rsidRDefault="00933939" w14:paraId="3D406BB2" w14:textId="1324FA93">
            <w:pPr>
              <w:pStyle w:val="TableRowCentered"/>
              <w:jc w:val="left"/>
              <w:rPr>
                <w:rFonts w:asciiTheme="minorHAnsi" w:hAnsiTheme="minorHAnsi" w:eastAsiaTheme="minorEastAsia" w:cstheme="minorBidi"/>
                <w:sz w:val="22"/>
                <w:szCs w:val="22"/>
              </w:rPr>
            </w:pPr>
            <w:hyperlink r:id="rId18">
              <w:r w:rsidRPr="30353947" w:rsidR="1677FFFB">
                <w:rPr>
                  <w:rStyle w:val="Hyperlink"/>
                  <w:rFonts w:asciiTheme="minorHAnsi" w:hAnsiTheme="minorHAnsi" w:eastAsiaTheme="minorEastAsia" w:cstheme="minorBidi"/>
                </w:rPr>
                <w:t>https://educationendowmentfoundation.org.uk/education-evidence/guidance-reports/supporting-parents</w:t>
              </w:r>
            </w:hyperlink>
            <w:r w:rsidRPr="30353947" w:rsidR="1677FFFB">
              <w:rPr>
                <w:rFonts w:asciiTheme="minorHAnsi" w:hAnsiTheme="minorHAnsi" w:eastAsiaTheme="minorEastAsia" w:cstheme="minorBidi"/>
                <w:sz w:val="22"/>
                <w:szCs w:val="22"/>
              </w:rPr>
              <w:t xml:space="preserve"> </w:t>
            </w: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DDB3E" w:rsidP="7D08D74D" w:rsidRDefault="7080EDDC" w14:paraId="676432DB" w14:textId="0058C675">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3, 4, 6,</w:t>
            </w:r>
          </w:p>
        </w:tc>
      </w:tr>
      <w:tr w:rsidRPr="006875F8" w:rsidR="00E66558" w:rsidTr="77B54B41" w14:paraId="2A7D553F" w14:textId="77777777">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7530923A" w14:paraId="2A7D553C" w14:textId="7BB7EF1D">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Subsidise trips and ensure that all clubs, trips and visits are accessible to all pupils</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7530923A" w14:paraId="4FF4B761" w14:textId="23DBF24F">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LOTC evidence </w:t>
            </w:r>
          </w:p>
          <w:p w:rsidRPr="006875F8" w:rsidR="00E66558" w:rsidP="297BACBC" w:rsidRDefault="395E81F2" w14:paraId="076A6C03" w14:textId="44B95271">
            <w:pPr>
              <w:pStyle w:val="TableRowCentered"/>
              <w:jc w:val="left"/>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 xml:space="preserve">The EEF found that breakfast clubs that offer a free and nutritious meal before school can boost reading, writing and maths results by the equivalent of two </w:t>
            </w:r>
            <w:proofErr w:type="gramStart"/>
            <w:r w:rsidRPr="297BACBC">
              <w:rPr>
                <w:rFonts w:asciiTheme="minorHAnsi" w:hAnsiTheme="minorHAnsi" w:eastAsiaTheme="minorEastAsia" w:cstheme="minorBidi"/>
                <w:sz w:val="22"/>
                <w:szCs w:val="22"/>
              </w:rPr>
              <w:t>months</w:t>
            </w:r>
            <w:proofErr w:type="gramEnd"/>
            <w:r w:rsidRPr="297BACBC">
              <w:rPr>
                <w:rFonts w:asciiTheme="minorHAnsi" w:hAnsiTheme="minorHAnsi" w:eastAsiaTheme="minorEastAsia" w:cstheme="minorBidi"/>
                <w:sz w:val="22"/>
                <w:szCs w:val="22"/>
              </w:rPr>
              <w:t xml:space="preserve"> progress per year</w:t>
            </w:r>
          </w:p>
          <w:p w:rsidRPr="006875F8" w:rsidR="00E66558" w:rsidP="297BACBC" w:rsidRDefault="00E66558" w14:paraId="2A7D553D" w14:textId="7B744879">
            <w:pPr>
              <w:pStyle w:val="TableRowCentered"/>
              <w:jc w:val="left"/>
              <w:rPr>
                <w:rFonts w:asciiTheme="minorHAnsi" w:hAnsiTheme="minorHAnsi" w:eastAsiaTheme="minorEastAsia" w:cstheme="minorBidi"/>
                <w:sz w:val="22"/>
                <w:szCs w:val="22"/>
              </w:rPr>
            </w:pP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7D08D74D" w:rsidRDefault="3349B210" w14:paraId="696BEEBB" w14:textId="6306975B">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5</w:t>
            </w:r>
          </w:p>
          <w:p w:rsidRPr="006875F8" w:rsidR="00E66558" w:rsidP="297BACBC" w:rsidRDefault="00E66558" w14:paraId="2A7D553E" w14:textId="74006466">
            <w:pPr>
              <w:pStyle w:val="TableRowCentered"/>
              <w:jc w:val="left"/>
              <w:rPr>
                <w:rFonts w:asciiTheme="minorHAnsi" w:hAnsiTheme="minorHAnsi" w:eastAsiaTheme="minorEastAsia" w:cstheme="minorBidi"/>
                <w:sz w:val="22"/>
                <w:szCs w:val="22"/>
              </w:rPr>
            </w:pPr>
          </w:p>
        </w:tc>
      </w:tr>
      <w:tr w:rsidR="744CAE2E" w:rsidTr="77B54B41" w14:paraId="3765488D" w14:textId="77777777">
        <w:trPr>
          <w:trHeight w:val="300"/>
        </w:trPr>
        <w:tc>
          <w:tcPr>
            <w:tcW w:w="27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14011FA" w:rsidP="297BACBC" w:rsidRDefault="1A335EEC" w14:paraId="28399A63" w14:textId="1E379E56">
            <w:pPr>
              <w:pStyle w:val="TableRow"/>
              <w:rPr>
                <w:rFonts w:asciiTheme="minorHAnsi" w:hAnsiTheme="minorHAnsi" w:eastAsiaTheme="minorEastAsia" w:cstheme="minorBidi"/>
                <w:sz w:val="22"/>
                <w:szCs w:val="22"/>
              </w:rPr>
            </w:pPr>
            <w:r w:rsidRPr="297BACBC">
              <w:rPr>
                <w:rFonts w:asciiTheme="minorHAnsi" w:hAnsiTheme="minorHAnsi" w:eastAsiaTheme="minorEastAsia" w:cstheme="minorBidi"/>
                <w:sz w:val="22"/>
                <w:szCs w:val="22"/>
              </w:rPr>
              <w:t>Develop role of enrichment lead to plan  more varied extra-curricular opportunities for pupils</w:t>
            </w:r>
          </w:p>
        </w:tc>
        <w:tc>
          <w:tcPr>
            <w:tcW w:w="47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4CAE2E" w:rsidP="30353947" w:rsidRDefault="00933939" w14:paraId="3EFFD09A" w14:textId="54526E3C">
            <w:pPr>
              <w:pStyle w:val="TableRowCentered"/>
              <w:jc w:val="left"/>
              <w:rPr>
                <w:rFonts w:asciiTheme="minorHAnsi" w:hAnsiTheme="minorHAnsi" w:eastAsiaTheme="minorEastAsia" w:cstheme="minorBidi"/>
                <w:sz w:val="22"/>
                <w:szCs w:val="22"/>
              </w:rPr>
            </w:pPr>
            <w:hyperlink r:id="rId19">
              <w:r w:rsidRPr="30353947" w:rsidR="27E5B026">
                <w:rPr>
                  <w:rStyle w:val="Hyperlink"/>
                  <w:rFonts w:asciiTheme="minorHAnsi" w:hAnsiTheme="minorHAnsi" w:eastAsiaTheme="minorEastAsia" w:cstheme="minorBidi"/>
                </w:rPr>
                <w:t>https://educationendowmentfoundation.org.uk/education-evidence/guidance-reports/primary-sel</w:t>
              </w:r>
            </w:hyperlink>
            <w:r w:rsidRPr="30353947" w:rsidR="27E5B026">
              <w:rPr>
                <w:rFonts w:asciiTheme="minorHAnsi" w:hAnsiTheme="minorHAnsi" w:eastAsiaTheme="minorEastAsia" w:cstheme="minorBidi"/>
                <w:sz w:val="22"/>
                <w:szCs w:val="22"/>
              </w:rPr>
              <w:t xml:space="preserve"> </w:t>
            </w:r>
          </w:p>
        </w:tc>
        <w:tc>
          <w:tcPr>
            <w:tcW w:w="1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44CAE2E" w:rsidP="7D08D74D" w:rsidRDefault="1E42CCC6" w14:paraId="2937B43D" w14:textId="39E4FA94">
            <w:pPr>
              <w:pStyle w:val="TableRowCentered"/>
              <w:jc w:val="left"/>
              <w:rPr>
                <w:rFonts w:asciiTheme="minorHAnsi" w:hAnsiTheme="minorHAnsi" w:eastAsiaTheme="minorEastAsia" w:cstheme="minorBidi"/>
                <w:sz w:val="22"/>
                <w:szCs w:val="22"/>
              </w:rPr>
            </w:pPr>
            <w:r w:rsidRPr="7D08D74D">
              <w:rPr>
                <w:rFonts w:asciiTheme="minorHAnsi" w:hAnsiTheme="minorHAnsi" w:eastAsiaTheme="minorEastAsia" w:cstheme="minorBidi"/>
                <w:sz w:val="22"/>
                <w:szCs w:val="22"/>
              </w:rPr>
              <w:t>3, 5, 6</w:t>
            </w:r>
          </w:p>
        </w:tc>
      </w:tr>
    </w:tbl>
    <w:p w:rsidR="30353947" w:rsidRDefault="30353947" w14:paraId="3B620F22" w14:textId="6D04EFCB"/>
    <w:p w:rsidRPr="006875F8" w:rsidR="00E66558" w:rsidP="297BACBC" w:rsidRDefault="00E66558" w14:paraId="2A7D5540" w14:textId="77777777">
      <w:pPr>
        <w:spacing w:before="240" w:after="0"/>
        <w:rPr>
          <w:rFonts w:asciiTheme="minorHAnsi" w:hAnsiTheme="minorHAnsi" w:eastAsiaTheme="minorEastAsia" w:cstheme="minorBidi"/>
          <w:b/>
          <w:bCs/>
          <w:color w:val="104F75"/>
          <w:sz w:val="22"/>
          <w:szCs w:val="22"/>
        </w:rPr>
      </w:pPr>
    </w:p>
    <w:p w:rsidRPr="006875F8" w:rsidR="00E66558" w:rsidP="777AC2D2" w:rsidRDefault="009D71E8" w14:paraId="04FA1D6F" w14:textId="44978921">
      <w:pPr>
        <w:shd w:val="clear" w:color="auto" w:fill="808080" w:themeFill="background1" w:themeFillShade="80"/>
        <w:rPr>
          <w:rFonts w:ascii="Calibri" w:hAnsi="Calibri" w:eastAsia="" w:cs="" w:asciiTheme="minorAscii" w:hAnsiTheme="minorAscii" w:eastAsiaTheme="minorEastAsia" w:cstheme="minorBidi"/>
          <w:color w:val="FFFFFF" w:themeColor="background1" w:themeTint="FF" w:themeShade="FF"/>
          <w:sz w:val="28"/>
          <w:szCs w:val="28"/>
        </w:rPr>
      </w:pPr>
      <w:r w:rsidRPr="777AC2D2" w:rsidR="7FA3BBCD">
        <w:rPr>
          <w:rFonts w:ascii="Calibri" w:hAnsi="Calibri" w:eastAsia="" w:cs="" w:asciiTheme="minorAscii" w:hAnsiTheme="minorAscii" w:eastAsiaTheme="minorEastAsia" w:cstheme="minorBidi"/>
          <w:b w:val="1"/>
          <w:bCs w:val="1"/>
          <w:color w:val="FFFFFF" w:themeColor="background1" w:themeTint="FF" w:themeShade="FF"/>
          <w:sz w:val="22"/>
          <w:szCs w:val="22"/>
        </w:rPr>
        <w:t xml:space="preserve">Total budgeted cost: £ </w:t>
      </w:r>
      <w:r w:rsidRPr="777AC2D2" w:rsidR="71F2160E">
        <w:rPr>
          <w:rFonts w:ascii="Calibri" w:hAnsi="Calibri" w:eastAsia="" w:cs="" w:asciiTheme="minorAscii" w:hAnsiTheme="minorAscii" w:eastAsiaTheme="minorEastAsia" w:cstheme="minorBidi"/>
          <w:i w:val="1"/>
          <w:iCs w:val="1"/>
          <w:color w:val="FFFFFF" w:themeColor="background1" w:themeTint="FF" w:themeShade="FF"/>
          <w:sz w:val="22"/>
          <w:szCs w:val="22"/>
        </w:rPr>
        <w:t>154,180</w:t>
      </w:r>
    </w:p>
    <w:p w:rsidRPr="006875F8" w:rsidR="00E66558" w:rsidP="777AC2D2" w:rsidRDefault="009D71E8" w14:paraId="2A7D5542" w14:textId="50DD3BA2">
      <w:pPr>
        <w:shd w:val="clear" w:color="auto" w:fill="808080" w:themeFill="background1" w:themeFillShade="80"/>
        <w:rPr>
          <w:rFonts w:ascii="Calibri" w:hAnsi="Calibri" w:eastAsia="" w:cs="" w:asciiTheme="minorAscii" w:hAnsiTheme="minorAscii" w:eastAsiaTheme="minorEastAsia" w:cstheme="minorBidi"/>
          <w:color w:val="FFFFFF" w:themeColor="background1"/>
          <w:sz w:val="28"/>
          <w:szCs w:val="28"/>
        </w:rPr>
      </w:pPr>
      <w:r w:rsidRPr="777AC2D2" w:rsidR="009D71E8">
        <w:rPr>
          <w:rFonts w:ascii="Calibri" w:hAnsi="Calibri" w:eastAsia="" w:cs="" w:asciiTheme="minorAscii" w:hAnsiTheme="minorAscii" w:eastAsiaTheme="minorEastAsia" w:cstheme="minorBidi"/>
          <w:color w:val="FFFFFF" w:themeColor="background1" w:themeTint="FF" w:themeShade="FF"/>
          <w:sz w:val="28"/>
          <w:szCs w:val="28"/>
        </w:rPr>
        <w:t xml:space="preserve">Part B: Review of outcomes in the </w:t>
      </w:r>
      <w:r w:rsidRPr="777AC2D2" w:rsidR="009D71E8">
        <w:rPr>
          <w:rFonts w:ascii="Calibri" w:hAnsi="Calibri" w:eastAsia="" w:cs="" w:asciiTheme="minorAscii" w:hAnsiTheme="minorAscii" w:eastAsiaTheme="minorEastAsia" w:cstheme="minorBidi"/>
          <w:color w:val="FFFFFF" w:themeColor="background1" w:themeTint="FF" w:themeShade="FF"/>
          <w:sz w:val="28"/>
          <w:szCs w:val="28"/>
        </w:rPr>
        <w:t>previous</w:t>
      </w:r>
      <w:r w:rsidRPr="777AC2D2" w:rsidR="009D71E8">
        <w:rPr>
          <w:rFonts w:ascii="Calibri" w:hAnsi="Calibri" w:eastAsia="" w:cs="" w:asciiTheme="minorAscii" w:hAnsiTheme="minorAscii" w:eastAsiaTheme="minorEastAsia" w:cstheme="minorBidi"/>
          <w:color w:val="FFFFFF" w:themeColor="background1" w:themeTint="FF" w:themeShade="FF"/>
          <w:sz w:val="28"/>
          <w:szCs w:val="28"/>
        </w:rPr>
        <w:t xml:space="preserve"> academic year</w:t>
      </w:r>
    </w:p>
    <w:p w:rsidRPr="006875F8" w:rsidR="00E66558" w:rsidP="777AC2D2" w:rsidRDefault="009D71E8" w14:paraId="2A7D5543" w14:textId="7881AE91">
      <w:pPr>
        <w:pStyle w:val="Heading2"/>
        <w:rPr>
          <w:rFonts w:ascii="Calibri" w:hAnsi="Calibri" w:eastAsia="" w:cs="" w:asciiTheme="minorAscii" w:hAnsiTheme="minorAscii" w:eastAsiaTheme="minorEastAsia" w:cstheme="minorBidi"/>
          <w:color w:val="FFFFFF" w:themeColor="background1"/>
          <w:sz w:val="24"/>
          <w:szCs w:val="24"/>
        </w:rPr>
      </w:pPr>
      <w:r w:rsidRPr="777AC2D2" w:rsidR="008B1301">
        <w:rPr>
          <w:rFonts w:ascii="Calibri" w:hAnsi="Calibri" w:eastAsia="" w:cs="" w:asciiTheme="minorAscii" w:hAnsiTheme="minorAscii" w:eastAsiaTheme="minorEastAsia" w:cstheme="minorBidi"/>
          <w:color w:val="FFFFFF" w:themeColor="background1" w:themeTint="FF" w:themeShade="FF"/>
          <w:sz w:val="24"/>
          <w:szCs w:val="24"/>
        </w:rPr>
        <w:t xml:space="preserve">  </w:t>
      </w:r>
      <w:r w:rsidRPr="777AC2D2" w:rsidR="009D71E8">
        <w:rPr>
          <w:rFonts w:ascii="Calibri" w:hAnsi="Calibri" w:eastAsia="" w:cs="" w:asciiTheme="minorAscii" w:hAnsiTheme="minorAscii" w:eastAsiaTheme="minorEastAsia" w:cstheme="minorBidi"/>
          <w:color w:val="FFFFFF" w:themeColor="background1" w:themeTint="FF" w:themeShade="FF"/>
          <w:sz w:val="24"/>
          <w:szCs w:val="24"/>
        </w:rPr>
        <w:t>Pupil premium strategy outcomes</w:t>
      </w:r>
    </w:p>
    <w:p w:rsidRPr="006875F8" w:rsidR="00E66558" w:rsidP="297BACBC" w:rsidRDefault="7FA3BBCD" w14:paraId="2A7D5544" w14:textId="72ED2DF5">
      <w:pPr>
        <w:rPr>
          <w:rFonts w:asciiTheme="minorHAnsi" w:hAnsiTheme="minorHAnsi" w:eastAsiaTheme="minorEastAsia" w:cstheme="minorBidi"/>
          <w:sz w:val="20"/>
          <w:szCs w:val="20"/>
        </w:rPr>
      </w:pPr>
      <w:r w:rsidRPr="4078E99F">
        <w:rPr>
          <w:rFonts w:asciiTheme="minorHAnsi" w:hAnsiTheme="minorHAnsi" w:eastAsiaTheme="minorEastAsia" w:cstheme="minorBidi"/>
          <w:sz w:val="20"/>
          <w:szCs w:val="20"/>
        </w:rPr>
        <w:t>This details the impact that our pupil premium activity had on pupils in the 202</w:t>
      </w:r>
      <w:r w:rsidRPr="4078E99F" w:rsidR="509A43E2">
        <w:rPr>
          <w:rFonts w:asciiTheme="minorHAnsi" w:hAnsiTheme="minorHAnsi" w:eastAsiaTheme="minorEastAsia" w:cstheme="minorBidi"/>
          <w:sz w:val="20"/>
          <w:szCs w:val="20"/>
        </w:rPr>
        <w:t>3</w:t>
      </w:r>
      <w:r w:rsidRPr="4078E99F">
        <w:rPr>
          <w:rFonts w:asciiTheme="minorHAnsi" w:hAnsiTheme="minorHAnsi" w:eastAsiaTheme="minorEastAsia" w:cstheme="minorBidi"/>
          <w:sz w:val="20"/>
          <w:szCs w:val="20"/>
        </w:rPr>
        <w:t xml:space="preserve"> to 202</w:t>
      </w:r>
      <w:r w:rsidRPr="4078E99F" w:rsidR="61139296">
        <w:rPr>
          <w:rFonts w:asciiTheme="minorHAnsi" w:hAnsiTheme="minorHAnsi" w:eastAsiaTheme="minorEastAsia" w:cstheme="minorBidi"/>
          <w:sz w:val="20"/>
          <w:szCs w:val="20"/>
        </w:rPr>
        <w:t>4</w:t>
      </w:r>
      <w:r w:rsidRPr="4078E99F">
        <w:rPr>
          <w:rFonts w:asciiTheme="minorHAnsi" w:hAnsiTheme="minorHAnsi" w:eastAsiaTheme="minorEastAsia" w:cstheme="minorBidi"/>
          <w:sz w:val="20"/>
          <w:szCs w:val="2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Pr="006875F8" w:rsidR="00E66558" w:rsidTr="777AC2D2"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2075A6" w:rsidP="20EF508B" w:rsidRDefault="002075A6" w14:paraId="26A7D9F7" w14:textId="4F073ED9">
            <w:pPr>
              <w:ind w:left="720" w:hanging="720"/>
              <w:rPr>
                <w:rFonts w:ascii="Calibri" w:hAnsi="Calibri" w:eastAsia="" w:cs="" w:asciiTheme="minorAscii" w:hAnsiTheme="minorAscii" w:eastAsiaTheme="minorEastAsia" w:cstheme="minorBidi"/>
                <w:sz w:val="20"/>
                <w:szCs w:val="20"/>
              </w:rPr>
            </w:pPr>
            <w:r w:rsidRPr="777AC2D2" w:rsidR="72D2416E">
              <w:rPr>
                <w:rFonts w:ascii="Calibri" w:hAnsi="Calibri" w:eastAsia="" w:cs="" w:asciiTheme="minorAscii" w:hAnsiTheme="minorAscii" w:eastAsiaTheme="minorEastAsia" w:cstheme="minorBidi"/>
                <w:sz w:val="20"/>
                <w:szCs w:val="20"/>
              </w:rPr>
              <w:t>Below is a summary of our 202</w:t>
            </w:r>
            <w:r w:rsidRPr="777AC2D2" w:rsidR="177768A8">
              <w:rPr>
                <w:rFonts w:ascii="Calibri" w:hAnsi="Calibri" w:eastAsia="" w:cs="" w:asciiTheme="minorAscii" w:hAnsiTheme="minorAscii" w:eastAsiaTheme="minorEastAsia" w:cstheme="minorBidi"/>
                <w:sz w:val="20"/>
                <w:szCs w:val="20"/>
              </w:rPr>
              <w:t>4</w:t>
            </w:r>
            <w:r w:rsidRPr="777AC2D2" w:rsidR="72D2416E">
              <w:rPr>
                <w:rFonts w:ascii="Calibri" w:hAnsi="Calibri" w:eastAsia="" w:cs="" w:asciiTheme="minorAscii" w:hAnsiTheme="minorAscii" w:eastAsiaTheme="minorEastAsia" w:cstheme="minorBidi"/>
                <w:sz w:val="20"/>
                <w:szCs w:val="20"/>
              </w:rPr>
              <w:t>/202</w:t>
            </w:r>
            <w:r w:rsidRPr="777AC2D2" w:rsidR="2F613FF2">
              <w:rPr>
                <w:rFonts w:ascii="Calibri" w:hAnsi="Calibri" w:eastAsia="" w:cs="" w:asciiTheme="minorAscii" w:hAnsiTheme="minorAscii" w:eastAsiaTheme="minorEastAsia" w:cstheme="minorBidi"/>
                <w:sz w:val="20"/>
                <w:szCs w:val="20"/>
              </w:rPr>
              <w:t>5</w:t>
            </w:r>
            <w:r w:rsidRPr="777AC2D2" w:rsidR="72D2416E">
              <w:rPr>
                <w:rFonts w:ascii="Calibri" w:hAnsi="Calibri" w:eastAsia="" w:cs="" w:asciiTheme="minorAscii" w:hAnsiTheme="minorAscii" w:eastAsiaTheme="minorEastAsia" w:cstheme="minorBidi"/>
                <w:sz w:val="20"/>
                <w:szCs w:val="20"/>
              </w:rPr>
              <w:t xml:space="preserve"> outcomes:</w:t>
            </w:r>
          </w:p>
          <w:p w:rsidRPr="006875F8" w:rsidR="002075A6" w:rsidP="20EF508B" w:rsidRDefault="002075A6" w14:paraId="675CA9F4" w14:textId="15538D6E">
            <w:pPr>
              <w:pStyle w:val="Normal"/>
              <w:ind w:left="720" w:hanging="720"/>
            </w:pPr>
            <w:r w:rsidR="72D2416E">
              <w:rPr/>
              <w:t xml:space="preserve"> </w:t>
            </w:r>
            <w:r w:rsidR="0389DADB">
              <w:drawing>
                <wp:inline wp14:editId="70597BF2" wp14:anchorId="13B6F6F8">
                  <wp:extent cx="5502117" cy="1318374"/>
                  <wp:effectExtent l="0" t="0" r="0" b="0"/>
                  <wp:docPr id="59537205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95372055" name=""/>
                          <pic:cNvPicPr/>
                        </pic:nvPicPr>
                        <pic:blipFill>
                          <a:blip xmlns:r="http://schemas.openxmlformats.org/officeDocument/2006/relationships" r:embed="rId1476536482">
                            <a:extLst>
                              <a:ext xmlns:a="http://schemas.openxmlformats.org/drawingml/2006/main" uri="{28A0092B-C50C-407E-A947-70E740481C1C}">
                                <a14:useLocalDpi xmlns:a14="http://schemas.microsoft.com/office/drawing/2010/main" val="0"/>
                              </a:ext>
                            </a:extLst>
                          </a:blip>
                          <a:stretch>
                            <a:fillRect/>
                          </a:stretch>
                        </pic:blipFill>
                        <pic:spPr>
                          <a:xfrm>
                            <a:off x="0" y="0"/>
                            <a:ext cx="5502117" cy="1318374"/>
                          </a:xfrm>
                          <a:prstGeom prst="rect">
                            <a:avLst/>
                          </a:prstGeom>
                        </pic:spPr>
                      </pic:pic>
                    </a:graphicData>
                  </a:graphic>
                </wp:inline>
              </w:drawing>
            </w:r>
          </w:p>
          <w:p w:rsidRPr="006875F8" w:rsidR="002075A6" w:rsidP="20EF508B" w:rsidRDefault="002075A6" w14:paraId="0524A3D4" w14:textId="3386EF94">
            <w:pPr>
              <w:pStyle w:val="Normal"/>
              <w:ind w:left="720" w:hanging="720"/>
            </w:pPr>
            <w:r w:rsidR="72D2416E">
              <w:rPr/>
              <w:t xml:space="preserve"> </w:t>
            </w:r>
            <w:r w:rsidR="70A313DE">
              <w:drawing>
                <wp:inline wp14:editId="1893432E" wp14:anchorId="00F79E6F">
                  <wp:extent cx="5547841" cy="1615580"/>
                  <wp:effectExtent l="0" t="0" r="0" b="0"/>
                  <wp:docPr id="9542108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4210806" name=""/>
                          <pic:cNvPicPr/>
                        </pic:nvPicPr>
                        <pic:blipFill>
                          <a:blip xmlns:r="http://schemas.openxmlformats.org/officeDocument/2006/relationships" r:embed="rId262859266">
                            <a:extLst>
                              <a:ext xmlns:a="http://schemas.openxmlformats.org/drawingml/2006/main" uri="{28A0092B-C50C-407E-A947-70E740481C1C}">
                                <a14:useLocalDpi xmlns:a14="http://schemas.microsoft.com/office/drawing/2010/main" val="0"/>
                              </a:ext>
                            </a:extLst>
                          </a:blip>
                          <a:stretch>
                            <a:fillRect/>
                          </a:stretch>
                        </pic:blipFill>
                        <pic:spPr>
                          <a:xfrm>
                            <a:off x="0" y="0"/>
                            <a:ext cx="5547841" cy="1615580"/>
                          </a:xfrm>
                          <a:prstGeom prst="rect">
                            <a:avLst/>
                          </a:prstGeom>
                        </pic:spPr>
                      </pic:pic>
                    </a:graphicData>
                  </a:graphic>
                </wp:inline>
              </w:drawing>
            </w:r>
          </w:p>
          <w:p w:rsidRPr="006875F8" w:rsidR="002075A6" w:rsidP="20EF508B" w:rsidRDefault="002075A6" w14:paraId="6E4A238F" w14:textId="41643614">
            <w:pPr>
              <w:pStyle w:val="Normal"/>
              <w:ind w:left="720" w:hanging="720"/>
            </w:pPr>
            <w:r w:rsidR="72D2416E">
              <w:rPr/>
              <w:t xml:space="preserve"> </w:t>
            </w:r>
            <w:r w:rsidR="7D045AEF">
              <w:drawing>
                <wp:inline wp14:editId="0298C6C7" wp14:anchorId="545700FD">
                  <wp:extent cx="5457825" cy="1362244"/>
                  <wp:effectExtent l="0" t="0" r="0" b="0"/>
                  <wp:docPr id="219138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91389" name=""/>
                          <pic:cNvPicPr/>
                        </pic:nvPicPr>
                        <pic:blipFill>
                          <a:blip xmlns:r="http://schemas.openxmlformats.org/officeDocument/2006/relationships" r:embed="rId1106899084">
                            <a:extLst>
                              <a:ext uri="{28A0092B-C50C-407E-A947-70E740481C1C}">
                                <a14:useLocalDpi xmlns:a14="http://schemas.microsoft.com/office/drawing/2010/main"/>
                              </a:ext>
                            </a:extLst>
                          </a:blip>
                          <a:stretch>
                            <a:fillRect/>
                          </a:stretch>
                        </pic:blipFill>
                        <pic:spPr>
                          <a:xfrm rot="0">
                            <a:off x="0" y="0"/>
                            <a:ext cx="5457825" cy="1362244"/>
                          </a:xfrm>
                          <a:prstGeom prst="rect">
                            <a:avLst/>
                          </a:prstGeom>
                        </pic:spPr>
                      </pic:pic>
                    </a:graphicData>
                  </a:graphic>
                </wp:inline>
              </w:drawing>
            </w:r>
          </w:p>
          <w:p w:rsidRPr="006875F8" w:rsidR="002075A6" w:rsidP="20EF508B" w:rsidRDefault="002075A6" w14:paraId="70913025" w14:textId="0190A577">
            <w:pPr>
              <w:pStyle w:val="Normal"/>
              <w:ind w:left="720" w:hanging="720"/>
            </w:pPr>
            <w:r w:rsidR="05739FC8">
              <w:rPr/>
              <w:t xml:space="preserve"> </w:t>
            </w:r>
            <w:r w:rsidR="4BEDA5CB">
              <w:drawing>
                <wp:inline wp14:editId="51A217C5" wp14:anchorId="17D6F1F1">
                  <wp:extent cx="5334000" cy="1711721"/>
                  <wp:effectExtent l="0" t="0" r="0" b="0"/>
                  <wp:docPr id="189016732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90167323" name=""/>
                          <pic:cNvPicPr/>
                        </pic:nvPicPr>
                        <pic:blipFill>
                          <a:blip xmlns:r="http://schemas.openxmlformats.org/officeDocument/2006/relationships" r:embed="rId960876529">
                            <a:extLst>
                              <a:ext uri="{28A0092B-C50C-407E-A947-70E740481C1C}">
                                <a14:useLocalDpi xmlns:a14="http://schemas.microsoft.com/office/drawing/2010/main"/>
                              </a:ext>
                            </a:extLst>
                          </a:blip>
                          <a:stretch>
                            <a:fillRect/>
                          </a:stretch>
                        </pic:blipFill>
                        <pic:spPr>
                          <a:xfrm rot="0">
                            <a:off x="0" y="0"/>
                            <a:ext cx="5334000" cy="1711721"/>
                          </a:xfrm>
                          <a:prstGeom prst="rect">
                            <a:avLst/>
                          </a:prstGeom>
                        </pic:spPr>
                      </pic:pic>
                    </a:graphicData>
                  </a:graphic>
                </wp:inline>
              </w:drawing>
            </w:r>
          </w:p>
          <w:p w:rsidRPr="006875F8" w:rsidR="002075A6" w:rsidP="20EF508B" w:rsidRDefault="002075A6" w14:paraId="2514DAEC" w14:textId="4B1A2CDB">
            <w:pPr>
              <w:pStyle w:val="Normal"/>
              <w:ind w:left="720" w:hanging="720"/>
            </w:pPr>
            <w:r w:rsidR="05739FC8">
              <w:rPr/>
              <w:t xml:space="preserve"> </w:t>
            </w:r>
            <w:r w:rsidR="2981C6FC">
              <w:drawing>
                <wp:inline wp14:editId="25CBFE65" wp14:anchorId="6802E729">
                  <wp:extent cx="5545810" cy="1770704"/>
                  <wp:effectExtent l="0" t="0" r="0" b="0"/>
                  <wp:docPr id="107788902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77889029" name=""/>
                          <pic:cNvPicPr/>
                        </pic:nvPicPr>
                        <pic:blipFill>
                          <a:blip xmlns:r="http://schemas.openxmlformats.org/officeDocument/2006/relationships" r:embed="rId888667756">
                            <a:extLst>
                              <a:ext uri="{28A0092B-C50C-407E-A947-70E740481C1C}">
                                <a14:useLocalDpi xmlns:a14="http://schemas.microsoft.com/office/drawing/2010/main"/>
                              </a:ext>
                            </a:extLst>
                          </a:blip>
                          <a:stretch>
                            <a:fillRect/>
                          </a:stretch>
                        </pic:blipFill>
                        <pic:spPr>
                          <a:xfrm rot="0">
                            <a:off x="0" y="0"/>
                            <a:ext cx="5545810" cy="1770704"/>
                          </a:xfrm>
                          <a:prstGeom prst="rect">
                            <a:avLst/>
                          </a:prstGeom>
                        </pic:spPr>
                      </pic:pic>
                    </a:graphicData>
                  </a:graphic>
                </wp:inline>
              </w:drawing>
            </w:r>
          </w:p>
          <w:p w:rsidRPr="006875F8" w:rsidR="002075A6" w:rsidP="777AC2D2" w:rsidRDefault="002075A6" w14:paraId="39B27F1F" w14:textId="2EB22388">
            <w:pPr>
              <w:ind w:left="0" w:hanging="0"/>
            </w:pPr>
            <w:r w:rsidR="2981C6FC">
              <w:drawing>
                <wp:inline wp14:editId="065E163D" wp14:anchorId="47D1AFEF">
                  <wp:extent cx="5876925" cy="1552575"/>
                  <wp:effectExtent l="0" t="0" r="0" b="0"/>
                  <wp:docPr id="154282394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42823945" name=""/>
                          <pic:cNvPicPr/>
                        </pic:nvPicPr>
                        <pic:blipFill>
                          <a:blip xmlns:r="http://schemas.openxmlformats.org/officeDocument/2006/relationships" r:embed="rId1747477802">
                            <a:extLst>
                              <a:ext xmlns:a="http://schemas.openxmlformats.org/drawingml/2006/main" uri="{28A0092B-C50C-407E-A947-70E740481C1C}">
                                <a14:useLocalDpi xmlns:a14="http://schemas.microsoft.com/office/drawing/2010/main" val="0"/>
                              </a:ext>
                            </a:extLst>
                          </a:blip>
                          <a:stretch>
                            <a:fillRect/>
                          </a:stretch>
                        </pic:blipFill>
                        <pic:spPr>
                          <a:xfrm>
                            <a:off x="0" y="0"/>
                            <a:ext cx="5876925" cy="1552575"/>
                          </a:xfrm>
                          <a:prstGeom prst="rect">
                            <a:avLst/>
                          </a:prstGeom>
                        </pic:spPr>
                      </pic:pic>
                    </a:graphicData>
                  </a:graphic>
                </wp:inline>
              </w:drawing>
            </w:r>
          </w:p>
          <w:p w:rsidRPr="006875F8" w:rsidR="002075A6" w:rsidP="777AC2D2" w:rsidRDefault="002075A6" w14:paraId="0C900985" w14:textId="61A6FE78">
            <w:pPr>
              <w:ind w:left="0" w:hanging="0"/>
            </w:pPr>
            <w:r w:rsidR="2981C6FC">
              <w:drawing>
                <wp:inline wp14:editId="5E770038" wp14:anchorId="67BDAFEF">
                  <wp:extent cx="5876925" cy="1905000"/>
                  <wp:effectExtent l="0" t="0" r="0" b="0"/>
                  <wp:docPr id="164594655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45946551" name=""/>
                          <pic:cNvPicPr/>
                        </pic:nvPicPr>
                        <pic:blipFill>
                          <a:blip xmlns:r="http://schemas.openxmlformats.org/officeDocument/2006/relationships" r:embed="rId2042786615">
                            <a:extLst>
                              <a:ext xmlns:a="http://schemas.openxmlformats.org/drawingml/2006/main" uri="{28A0092B-C50C-407E-A947-70E740481C1C}">
                                <a14:useLocalDpi xmlns:a14="http://schemas.microsoft.com/office/drawing/2010/main" val="0"/>
                              </a:ext>
                            </a:extLst>
                          </a:blip>
                          <a:stretch>
                            <a:fillRect/>
                          </a:stretch>
                        </pic:blipFill>
                        <pic:spPr>
                          <a:xfrm>
                            <a:off x="0" y="0"/>
                            <a:ext cx="5876925" cy="1905000"/>
                          </a:xfrm>
                          <a:prstGeom prst="rect">
                            <a:avLst/>
                          </a:prstGeom>
                        </pic:spPr>
                      </pic:pic>
                    </a:graphicData>
                  </a:graphic>
                </wp:inline>
              </w:drawing>
            </w:r>
          </w:p>
          <w:p w:rsidRPr="006875F8" w:rsidR="002075A6" w:rsidP="777AC2D2" w:rsidRDefault="002075A6" w14:paraId="5F3E928B" w14:textId="34CAD47A">
            <w:pPr>
              <w:ind w:left="0" w:hanging="0"/>
            </w:pPr>
            <w:r w:rsidR="53720AA9">
              <w:drawing>
                <wp:inline wp14:editId="7EE2805B" wp14:anchorId="06CB3B99">
                  <wp:extent cx="5876925" cy="1905000"/>
                  <wp:effectExtent l="0" t="0" r="0" b="0"/>
                  <wp:docPr id="70108753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01087532" name=""/>
                          <pic:cNvPicPr/>
                        </pic:nvPicPr>
                        <pic:blipFill>
                          <a:blip xmlns:r="http://schemas.openxmlformats.org/officeDocument/2006/relationships" r:embed="rId1808996208">
                            <a:extLst>
                              <a:ext xmlns:a="http://schemas.openxmlformats.org/drawingml/2006/main" uri="{28A0092B-C50C-407E-A947-70E740481C1C}">
                                <a14:useLocalDpi xmlns:a14="http://schemas.microsoft.com/office/drawing/2010/main" val="0"/>
                              </a:ext>
                            </a:extLst>
                          </a:blip>
                          <a:stretch>
                            <a:fillRect/>
                          </a:stretch>
                        </pic:blipFill>
                        <pic:spPr>
                          <a:xfrm>
                            <a:off x="0" y="0"/>
                            <a:ext cx="5876925" cy="1905000"/>
                          </a:xfrm>
                          <a:prstGeom prst="rect">
                            <a:avLst/>
                          </a:prstGeom>
                        </pic:spPr>
                      </pic:pic>
                    </a:graphicData>
                  </a:graphic>
                </wp:inline>
              </w:drawing>
            </w:r>
          </w:p>
          <w:p w:rsidRPr="006875F8" w:rsidR="002075A6" w:rsidP="777AC2D2" w:rsidRDefault="002075A6" w14:paraId="0802D42E" w14:textId="43704ED9">
            <w:pPr>
              <w:ind w:left="0" w:hanging="0"/>
            </w:pPr>
            <w:r w:rsidR="53720AA9">
              <w:drawing>
                <wp:inline wp14:editId="3F6DE84B" wp14:anchorId="72024775">
                  <wp:extent cx="5876925" cy="1857375"/>
                  <wp:effectExtent l="0" t="0" r="0" b="0"/>
                  <wp:docPr id="74874239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48742393" name=""/>
                          <pic:cNvPicPr/>
                        </pic:nvPicPr>
                        <pic:blipFill>
                          <a:blip xmlns:r="http://schemas.openxmlformats.org/officeDocument/2006/relationships" r:embed="rId25751683">
                            <a:extLst>
                              <a:ext xmlns:a="http://schemas.openxmlformats.org/drawingml/2006/main" uri="{28A0092B-C50C-407E-A947-70E740481C1C}">
                                <a14:useLocalDpi xmlns:a14="http://schemas.microsoft.com/office/drawing/2010/main" val="0"/>
                              </a:ext>
                            </a:extLst>
                          </a:blip>
                          <a:stretch>
                            <a:fillRect/>
                          </a:stretch>
                        </pic:blipFill>
                        <pic:spPr>
                          <a:xfrm>
                            <a:off x="0" y="0"/>
                            <a:ext cx="5876925" cy="1857375"/>
                          </a:xfrm>
                          <a:prstGeom prst="rect">
                            <a:avLst/>
                          </a:prstGeom>
                        </pic:spPr>
                      </pic:pic>
                    </a:graphicData>
                  </a:graphic>
                </wp:inline>
              </w:drawing>
            </w:r>
          </w:p>
          <w:p w:rsidRPr="006875F8" w:rsidR="002075A6" w:rsidP="777AC2D2" w:rsidRDefault="002075A6" w14:paraId="2E239545" w14:textId="3C55B273">
            <w:pPr>
              <w:ind w:left="0" w:hanging="0"/>
              <w:rPr>
                <w:rFonts w:ascii="Arial" w:hAnsi="Arial" w:eastAsia="Arial" w:cs="Arial"/>
                <w:noProof w:val="0"/>
                <w:sz w:val="24"/>
                <w:szCs w:val="24"/>
                <w:lang w:val="en-GB"/>
              </w:rPr>
            </w:pPr>
            <w:r w:rsidR="62157980">
              <w:drawing>
                <wp:inline wp14:editId="35A65D14" wp14:anchorId="4BAC8661">
                  <wp:extent cx="5876925" cy="1866900"/>
                  <wp:effectExtent l="0" t="0" r="0" b="0"/>
                  <wp:docPr id="79328491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93284914" name=""/>
                          <pic:cNvPicPr/>
                        </pic:nvPicPr>
                        <pic:blipFill>
                          <a:blip xmlns:r="http://schemas.openxmlformats.org/officeDocument/2006/relationships" r:embed="rId725985238">
                            <a:extLst>
                              <a:ext xmlns:a="http://schemas.openxmlformats.org/drawingml/2006/main" uri="{28A0092B-C50C-407E-A947-70E740481C1C}">
                                <a14:useLocalDpi xmlns:a14="http://schemas.microsoft.com/office/drawing/2010/main" val="0"/>
                              </a:ext>
                            </a:extLst>
                          </a:blip>
                          <a:stretch>
                            <a:fillRect/>
                          </a:stretch>
                        </pic:blipFill>
                        <pic:spPr>
                          <a:xfrm>
                            <a:off x="0" y="0"/>
                            <a:ext cx="5876925" cy="1866900"/>
                          </a:xfrm>
                          <a:prstGeom prst="rect">
                            <a:avLst/>
                          </a:prstGeom>
                        </pic:spPr>
                      </pic:pic>
                    </a:graphicData>
                  </a:graphic>
                </wp:inline>
              </w:drawing>
            </w:r>
          </w:p>
          <w:p w:rsidRPr="006875F8" w:rsidR="002075A6" w:rsidP="777AC2D2" w:rsidRDefault="002075A6" w14:paraId="2A7D5546" w14:textId="2B04710A">
            <w:pPr>
              <w:ind w:left="0" w:hanging="0"/>
              <w:rPr>
                <w:rFonts w:ascii="Arial" w:hAnsi="Arial" w:eastAsia="Arial" w:cs="Arial"/>
                <w:noProof w:val="0"/>
                <w:sz w:val="24"/>
                <w:szCs w:val="24"/>
                <w:lang w:val="en-GB"/>
              </w:rPr>
            </w:pPr>
            <w:r w:rsidRPr="777AC2D2" w:rsidR="1541E9FE">
              <w:rPr>
                <w:rFonts w:ascii="Arial" w:hAnsi="Arial" w:eastAsia="Arial" w:cs="Arial"/>
                <w:noProof w:val="0"/>
                <w:sz w:val="24"/>
                <w:szCs w:val="24"/>
                <w:lang w:val="en-GB"/>
              </w:rPr>
              <w:t>While this year’s results sh</w:t>
            </w:r>
            <w:r w:rsidRPr="777AC2D2" w:rsidR="65016431">
              <w:rPr>
                <w:rFonts w:ascii="Arial" w:hAnsi="Arial" w:eastAsia="Arial" w:cs="Arial"/>
                <w:noProof w:val="0"/>
                <w:sz w:val="24"/>
                <w:szCs w:val="24"/>
                <w:lang w:val="en-GB"/>
              </w:rPr>
              <w:t>owed</w:t>
            </w:r>
            <w:r w:rsidRPr="777AC2D2" w:rsidR="1541E9FE">
              <w:rPr>
                <w:rFonts w:ascii="Arial" w:hAnsi="Arial" w:eastAsia="Arial" w:cs="Arial"/>
                <w:noProof w:val="0"/>
                <w:sz w:val="24"/>
                <w:szCs w:val="24"/>
                <w:lang w:val="en-GB"/>
              </w:rPr>
              <w:t xml:space="preserve"> </w:t>
            </w:r>
            <w:r w:rsidRPr="777AC2D2" w:rsidR="326F1033">
              <w:rPr>
                <w:rFonts w:ascii="Arial" w:hAnsi="Arial" w:eastAsia="Arial" w:cs="Arial"/>
                <w:noProof w:val="0"/>
                <w:sz w:val="24"/>
                <w:szCs w:val="24"/>
                <w:lang w:val="en-GB"/>
              </w:rPr>
              <w:t>good</w:t>
            </w:r>
            <w:r w:rsidRPr="777AC2D2" w:rsidR="10515C45">
              <w:rPr>
                <w:rFonts w:ascii="Arial" w:hAnsi="Arial" w:eastAsia="Arial" w:cs="Arial"/>
                <w:noProof w:val="0"/>
                <w:sz w:val="24"/>
                <w:szCs w:val="24"/>
                <w:lang w:val="en-GB"/>
              </w:rPr>
              <w:t xml:space="preserve"> </w:t>
            </w:r>
            <w:r w:rsidRPr="777AC2D2" w:rsidR="1541E9FE">
              <w:rPr>
                <w:rFonts w:ascii="Arial" w:hAnsi="Arial" w:eastAsia="Arial" w:cs="Arial"/>
                <w:noProof w:val="0"/>
                <w:sz w:val="24"/>
                <w:szCs w:val="24"/>
                <w:lang w:val="en-GB"/>
              </w:rPr>
              <w:t>progress</w:t>
            </w:r>
            <w:r w:rsidRPr="777AC2D2" w:rsidR="6D5F9E4C">
              <w:rPr>
                <w:rFonts w:ascii="Arial" w:hAnsi="Arial" w:eastAsia="Arial" w:cs="Arial"/>
                <w:noProof w:val="0"/>
                <w:sz w:val="24"/>
                <w:szCs w:val="24"/>
                <w:lang w:val="en-GB"/>
              </w:rPr>
              <w:t xml:space="preserve"> </w:t>
            </w:r>
            <w:r w:rsidRPr="777AC2D2" w:rsidR="1DAC3985">
              <w:rPr>
                <w:rFonts w:ascii="Arial" w:hAnsi="Arial" w:eastAsia="Arial" w:cs="Arial"/>
                <w:noProof w:val="0"/>
                <w:sz w:val="24"/>
                <w:szCs w:val="24"/>
                <w:lang w:val="en-GB"/>
              </w:rPr>
              <w:t xml:space="preserve">had been made </w:t>
            </w:r>
            <w:r w:rsidRPr="777AC2D2" w:rsidR="6D5F9E4C">
              <w:rPr>
                <w:rFonts w:ascii="Arial" w:hAnsi="Arial" w:eastAsia="Arial" w:cs="Arial"/>
                <w:noProof w:val="0"/>
                <w:sz w:val="24"/>
                <w:szCs w:val="24"/>
                <w:lang w:val="en-GB"/>
              </w:rPr>
              <w:t>for many learners from their</w:t>
            </w:r>
            <w:r w:rsidRPr="777AC2D2" w:rsidR="73070931">
              <w:rPr>
                <w:rFonts w:ascii="Arial" w:hAnsi="Arial" w:eastAsia="Arial" w:cs="Arial"/>
                <w:noProof w:val="0"/>
                <w:sz w:val="24"/>
                <w:szCs w:val="24"/>
                <w:lang w:val="en-GB"/>
              </w:rPr>
              <w:t xml:space="preserve"> individual</w:t>
            </w:r>
            <w:r w:rsidRPr="777AC2D2" w:rsidR="6D5F9E4C">
              <w:rPr>
                <w:rFonts w:ascii="Arial" w:hAnsi="Arial" w:eastAsia="Arial" w:cs="Arial"/>
                <w:noProof w:val="0"/>
                <w:sz w:val="24"/>
                <w:szCs w:val="24"/>
                <w:lang w:val="en-GB"/>
              </w:rPr>
              <w:t xml:space="preserve"> starting points</w:t>
            </w:r>
            <w:r w:rsidRPr="777AC2D2" w:rsidR="79824230">
              <w:rPr>
                <w:rFonts w:ascii="Arial" w:hAnsi="Arial" w:eastAsia="Arial" w:cs="Arial"/>
                <w:noProof w:val="0"/>
                <w:sz w:val="24"/>
                <w:szCs w:val="24"/>
                <w:lang w:val="en-GB"/>
              </w:rPr>
              <w:t>,</w:t>
            </w:r>
            <w:r w:rsidRPr="777AC2D2" w:rsidR="1541E9FE">
              <w:rPr>
                <w:rFonts w:ascii="Arial" w:hAnsi="Arial" w:eastAsia="Arial" w:cs="Arial"/>
                <w:noProof w:val="0"/>
                <w:sz w:val="24"/>
                <w:szCs w:val="24"/>
                <w:lang w:val="en-GB"/>
              </w:rPr>
              <w:t xml:space="preserve"> the overall outcomes</w:t>
            </w:r>
            <w:r w:rsidRPr="777AC2D2" w:rsidR="23BB8400">
              <w:rPr>
                <w:rFonts w:ascii="Arial" w:hAnsi="Arial" w:eastAsia="Arial" w:cs="Arial"/>
                <w:noProof w:val="0"/>
                <w:sz w:val="24"/>
                <w:szCs w:val="24"/>
                <w:lang w:val="en-GB"/>
              </w:rPr>
              <w:t>, particularly in Key Stage 2,</w:t>
            </w:r>
            <w:r w:rsidRPr="777AC2D2" w:rsidR="1541E9FE">
              <w:rPr>
                <w:rFonts w:ascii="Arial" w:hAnsi="Arial" w:eastAsia="Arial" w:cs="Arial"/>
                <w:noProof w:val="0"/>
                <w:sz w:val="24"/>
                <w:szCs w:val="24"/>
                <w:lang w:val="en-GB"/>
              </w:rPr>
              <w:t xml:space="preserve"> reflect the ongoing challenges faced by our most disadvantaged learners</w:t>
            </w:r>
            <w:r w:rsidRPr="777AC2D2" w:rsidR="08D2CBF9">
              <w:rPr>
                <w:rFonts w:ascii="Arial" w:hAnsi="Arial" w:eastAsia="Arial" w:cs="Arial"/>
                <w:noProof w:val="0"/>
                <w:sz w:val="24"/>
                <w:szCs w:val="24"/>
                <w:lang w:val="en-GB"/>
              </w:rPr>
              <w:t xml:space="preserve">. </w:t>
            </w:r>
            <w:r w:rsidRPr="777AC2D2" w:rsidR="08D2CBF9">
              <w:rPr>
                <w:rFonts w:ascii="Arial" w:hAnsi="Arial" w:eastAsia="Arial" w:cs="Arial"/>
                <w:noProof w:val="0"/>
                <w:sz w:val="24"/>
                <w:szCs w:val="24"/>
                <w:lang w:val="en-GB"/>
              </w:rPr>
              <w:t xml:space="preserve">In response, we </w:t>
            </w:r>
            <w:r w:rsidRPr="777AC2D2" w:rsidR="6C7FA7C4">
              <w:rPr>
                <w:rFonts w:ascii="Arial" w:hAnsi="Arial" w:eastAsia="Arial" w:cs="Arial"/>
                <w:noProof w:val="0"/>
                <w:sz w:val="24"/>
                <w:szCs w:val="24"/>
                <w:lang w:val="en-GB"/>
              </w:rPr>
              <w:t xml:space="preserve">will review the support </w:t>
            </w:r>
            <w:r w:rsidRPr="777AC2D2" w:rsidR="3BB0203C">
              <w:rPr>
                <w:rFonts w:ascii="Arial" w:hAnsi="Arial" w:eastAsia="Arial" w:cs="Arial"/>
                <w:noProof w:val="0"/>
                <w:sz w:val="24"/>
                <w:szCs w:val="24"/>
                <w:lang w:val="en-GB"/>
              </w:rPr>
              <w:t>provided</w:t>
            </w:r>
            <w:r w:rsidRPr="777AC2D2" w:rsidR="6C7FA7C4">
              <w:rPr>
                <w:rFonts w:ascii="Arial" w:hAnsi="Arial" w:eastAsia="Arial" w:cs="Arial"/>
                <w:noProof w:val="0"/>
                <w:sz w:val="24"/>
                <w:szCs w:val="24"/>
                <w:lang w:val="en-GB"/>
              </w:rPr>
              <w:t xml:space="preserve"> for the final year of the strat</w:t>
            </w:r>
            <w:r w:rsidRPr="777AC2D2" w:rsidR="1F0B237E">
              <w:rPr>
                <w:rFonts w:ascii="Arial" w:hAnsi="Arial" w:eastAsia="Arial" w:cs="Arial"/>
                <w:noProof w:val="0"/>
                <w:sz w:val="24"/>
                <w:szCs w:val="24"/>
                <w:lang w:val="en-GB"/>
              </w:rPr>
              <w:t>egy</w:t>
            </w:r>
            <w:r w:rsidRPr="777AC2D2" w:rsidR="1D8C4DB5">
              <w:rPr>
                <w:rFonts w:ascii="Arial" w:hAnsi="Arial" w:eastAsia="Arial" w:cs="Arial"/>
                <w:noProof w:val="0"/>
                <w:sz w:val="24"/>
                <w:szCs w:val="24"/>
                <w:lang w:val="en-GB"/>
              </w:rPr>
              <w:t xml:space="preserve"> and ensure it focuses on</w:t>
            </w:r>
            <w:r w:rsidRPr="777AC2D2" w:rsidR="749CF065">
              <w:rPr>
                <w:rFonts w:ascii="Arial" w:hAnsi="Arial" w:eastAsia="Arial" w:cs="Arial"/>
                <w:noProof w:val="0"/>
                <w:sz w:val="24"/>
                <w:szCs w:val="24"/>
                <w:lang w:val="en-GB"/>
              </w:rPr>
              <w:t xml:space="preserve"> providing targeting intervention</w:t>
            </w:r>
            <w:r w:rsidRPr="777AC2D2" w:rsidR="08D2CBF9">
              <w:rPr>
                <w:rFonts w:ascii="Arial" w:hAnsi="Arial" w:eastAsia="Arial" w:cs="Arial"/>
                <w:noProof w:val="0"/>
                <w:sz w:val="24"/>
                <w:szCs w:val="24"/>
                <w:lang w:val="en-GB"/>
              </w:rPr>
              <w:t xml:space="preserve"> support</w:t>
            </w:r>
            <w:r w:rsidRPr="777AC2D2" w:rsidR="09642B50">
              <w:rPr>
                <w:rFonts w:ascii="Arial" w:hAnsi="Arial" w:eastAsia="Arial" w:cs="Arial"/>
                <w:noProof w:val="0"/>
                <w:sz w:val="24"/>
                <w:szCs w:val="24"/>
                <w:lang w:val="en-GB"/>
              </w:rPr>
              <w:t xml:space="preserve"> to those that need it most</w:t>
            </w:r>
            <w:r w:rsidRPr="777AC2D2" w:rsidR="08D2CBF9">
              <w:rPr>
                <w:rFonts w:ascii="Arial" w:hAnsi="Arial" w:eastAsia="Arial" w:cs="Arial"/>
                <w:noProof w:val="0"/>
                <w:sz w:val="24"/>
                <w:szCs w:val="24"/>
                <w:lang w:val="en-GB"/>
              </w:rPr>
              <w:t>, a</w:t>
            </w:r>
            <w:r w:rsidRPr="777AC2D2" w:rsidR="10B4F604">
              <w:rPr>
                <w:rFonts w:ascii="Arial" w:hAnsi="Arial" w:eastAsia="Arial" w:cs="Arial"/>
                <w:noProof w:val="0"/>
                <w:sz w:val="24"/>
                <w:szCs w:val="24"/>
                <w:lang w:val="en-GB"/>
              </w:rPr>
              <w:t>s well as</w:t>
            </w:r>
            <w:r w:rsidRPr="777AC2D2" w:rsidR="08D2CBF9">
              <w:rPr>
                <w:rFonts w:ascii="Arial" w:hAnsi="Arial" w:eastAsia="Arial" w:cs="Arial"/>
                <w:noProof w:val="0"/>
                <w:sz w:val="24"/>
                <w:szCs w:val="24"/>
                <w:lang w:val="en-GB"/>
              </w:rPr>
              <w:t xml:space="preserve"> pastoral care </w:t>
            </w:r>
            <w:r w:rsidRPr="777AC2D2" w:rsidR="573A3AE9">
              <w:rPr>
                <w:rFonts w:ascii="Arial" w:hAnsi="Arial" w:eastAsia="Arial" w:cs="Arial"/>
                <w:noProof w:val="0"/>
                <w:sz w:val="24"/>
                <w:szCs w:val="24"/>
                <w:lang w:val="en-GB"/>
              </w:rPr>
              <w:t xml:space="preserve">to support </w:t>
            </w:r>
            <w:r w:rsidRPr="777AC2D2" w:rsidR="08D2CBF9">
              <w:rPr>
                <w:rFonts w:ascii="Arial" w:hAnsi="Arial" w:eastAsia="Arial" w:cs="Arial"/>
                <w:noProof w:val="0"/>
                <w:sz w:val="24"/>
                <w:szCs w:val="24"/>
                <w:lang w:val="en-GB"/>
              </w:rPr>
              <w:t>our pupil premium c</w:t>
            </w:r>
            <w:r w:rsidRPr="777AC2D2" w:rsidR="4B4C6F81">
              <w:rPr>
                <w:rFonts w:ascii="Arial" w:hAnsi="Arial" w:eastAsia="Arial" w:cs="Arial"/>
                <w:noProof w:val="0"/>
                <w:sz w:val="24"/>
                <w:szCs w:val="24"/>
                <w:lang w:val="en-GB"/>
              </w:rPr>
              <w:t>hildren to be fully able to access learning.</w:t>
            </w:r>
            <w:r w:rsidRPr="777AC2D2" w:rsidR="2276577F">
              <w:rPr>
                <w:rFonts w:ascii="Arial" w:hAnsi="Arial" w:eastAsia="Arial" w:cs="Arial"/>
                <w:noProof w:val="0"/>
                <w:sz w:val="24"/>
                <w:szCs w:val="24"/>
                <w:lang w:val="en-GB"/>
              </w:rPr>
              <w:t xml:space="preserve">  </w:t>
            </w:r>
            <w:r w:rsidRPr="777AC2D2" w:rsidR="08D2CBF9">
              <w:rPr>
                <w:rFonts w:ascii="Arial" w:hAnsi="Arial" w:eastAsia="Arial" w:cs="Arial"/>
                <w:noProof w:val="0"/>
                <w:sz w:val="24"/>
                <w:szCs w:val="24"/>
                <w:lang w:val="en-GB"/>
              </w:rPr>
              <w:t>Closing th</w:t>
            </w:r>
            <w:r w:rsidRPr="777AC2D2" w:rsidR="61869948">
              <w:rPr>
                <w:rFonts w:ascii="Arial" w:hAnsi="Arial" w:eastAsia="Arial" w:cs="Arial"/>
                <w:noProof w:val="0"/>
                <w:sz w:val="24"/>
                <w:szCs w:val="24"/>
                <w:lang w:val="en-GB"/>
              </w:rPr>
              <w:t>e</w:t>
            </w:r>
            <w:r w:rsidRPr="777AC2D2" w:rsidR="08D2CBF9">
              <w:rPr>
                <w:rFonts w:ascii="Arial" w:hAnsi="Arial" w:eastAsia="Arial" w:cs="Arial"/>
                <w:noProof w:val="0"/>
                <w:sz w:val="24"/>
                <w:szCs w:val="24"/>
                <w:lang w:val="en-GB"/>
              </w:rPr>
              <w:t xml:space="preserve"> gap </w:t>
            </w:r>
            <w:r w:rsidRPr="777AC2D2" w:rsidR="08D2CBF9">
              <w:rPr>
                <w:rFonts w:ascii="Arial" w:hAnsi="Arial" w:eastAsia="Arial" w:cs="Arial"/>
                <w:noProof w:val="0"/>
                <w:sz w:val="24"/>
                <w:szCs w:val="24"/>
                <w:lang w:val="en-GB"/>
              </w:rPr>
              <w:t>remains</w:t>
            </w:r>
            <w:r w:rsidRPr="777AC2D2" w:rsidR="08D2CBF9">
              <w:rPr>
                <w:rFonts w:ascii="Arial" w:hAnsi="Arial" w:eastAsia="Arial" w:cs="Arial"/>
                <w:noProof w:val="0"/>
                <w:sz w:val="24"/>
                <w:szCs w:val="24"/>
                <w:lang w:val="en-GB"/>
              </w:rPr>
              <w:t xml:space="preserve"> a top priority, and we are committed to working in partnership with staff, families, and external agencies to ensure that all our pupils reach their full potential.</w:t>
            </w:r>
          </w:p>
        </w:tc>
      </w:tr>
    </w:tbl>
    <w:p w:rsidRPr="006875F8" w:rsidR="00E66558" w:rsidP="297BACBC" w:rsidRDefault="009D71E8" w14:paraId="2A7D5548" w14:textId="77777777">
      <w:pPr>
        <w:pStyle w:val="Heading2"/>
        <w:shd w:val="clear" w:color="auto" w:fill="808080" w:themeFill="background1" w:themeFillShade="80"/>
        <w:spacing w:before="600"/>
        <w:rPr>
          <w:rFonts w:asciiTheme="minorHAnsi" w:hAnsiTheme="minorHAnsi" w:eastAsiaTheme="minorEastAsia" w:cstheme="minorBidi"/>
          <w:color w:val="FFFFFF" w:themeColor="background1"/>
          <w:sz w:val="24"/>
          <w:szCs w:val="24"/>
        </w:rPr>
      </w:pPr>
      <w:r w:rsidRPr="297BACBC">
        <w:rPr>
          <w:rFonts w:asciiTheme="minorHAnsi" w:hAnsiTheme="minorHAnsi" w:eastAsiaTheme="minorEastAsia" w:cstheme="minorBidi"/>
          <w:color w:val="FFFFFF" w:themeColor="background1"/>
          <w:sz w:val="24"/>
          <w:szCs w:val="24"/>
        </w:rPr>
        <w:t>Externally provided programmes</w:t>
      </w:r>
    </w:p>
    <w:p w:rsidRPr="006875F8" w:rsidR="00E66558" w:rsidP="297BACBC" w:rsidRDefault="009D71E8" w14:paraId="2A7D5549" w14:textId="77777777">
      <w:pPr>
        <w:rPr>
          <w:rFonts w:asciiTheme="minorHAnsi" w:hAnsiTheme="minorHAnsi" w:eastAsiaTheme="minorEastAsia" w:cstheme="minorBidi"/>
          <w:i/>
          <w:iCs/>
          <w:sz w:val="20"/>
          <w:szCs w:val="20"/>
        </w:rPr>
      </w:pPr>
      <w:r w:rsidRPr="297BACBC">
        <w:rPr>
          <w:rFonts w:asciiTheme="minorHAnsi" w:hAnsiTheme="minorHAnsi" w:eastAsiaTheme="minorEastAsia" w:cstheme="minorBidi"/>
          <w:i/>
          <w:iCs/>
          <w:sz w:val="20"/>
          <w:szCs w:val="20"/>
        </w:rPr>
        <w:t>Please include the names of any non-</w:t>
      </w:r>
      <w:proofErr w:type="spellStart"/>
      <w:r w:rsidRPr="297BACBC">
        <w:rPr>
          <w:rFonts w:asciiTheme="minorHAnsi" w:hAnsiTheme="minorHAnsi" w:eastAsiaTheme="minorEastAsia" w:cstheme="minorBidi"/>
          <w:i/>
          <w:iCs/>
          <w:sz w:val="20"/>
          <w:szCs w:val="20"/>
        </w:rPr>
        <w:t>DfE</w:t>
      </w:r>
      <w:proofErr w:type="spellEnd"/>
      <w:r w:rsidRPr="297BACBC">
        <w:rPr>
          <w:rFonts w:asciiTheme="minorHAnsi" w:hAnsiTheme="minorHAnsi" w:eastAsiaTheme="minorEastAsia" w:cstheme="minorBidi"/>
          <w:i/>
          <w:iCs/>
          <w:sz w:val="20"/>
          <w:szCs w:val="20"/>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Pr="006875F8" w:rsidR="00E66558" w:rsidTr="297BACBC"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4A"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6875F8" w:rsidR="00E66558" w:rsidP="297BACBC" w:rsidRDefault="009D71E8" w14:paraId="2A7D554B" w14:textId="77777777">
            <w:pPr>
              <w:pStyle w:val="TableHeader"/>
              <w:jc w:val="left"/>
              <w:rPr>
                <w:rFonts w:asciiTheme="minorHAnsi" w:hAnsiTheme="minorHAnsi" w:eastAsiaTheme="minorEastAsia" w:cstheme="minorBidi"/>
                <w:sz w:val="20"/>
                <w:szCs w:val="20"/>
              </w:rPr>
            </w:pPr>
            <w:r w:rsidRPr="297BACBC">
              <w:rPr>
                <w:rFonts w:asciiTheme="minorHAnsi" w:hAnsiTheme="minorHAnsi" w:eastAsiaTheme="minorEastAsia" w:cstheme="minorBidi"/>
                <w:sz w:val="20"/>
                <w:szCs w:val="20"/>
              </w:rPr>
              <w:t>Provider</w:t>
            </w:r>
          </w:p>
        </w:tc>
      </w:tr>
      <w:tr w:rsidRPr="006875F8" w:rsidR="00E66558" w:rsidTr="297BACBC"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E66558" w14:paraId="2A7D554D" w14:textId="77777777">
            <w:pPr>
              <w:pStyle w:val="TableRow"/>
              <w:rPr>
                <w:rFonts w:asciiTheme="minorHAnsi" w:hAnsiTheme="minorHAnsi" w:eastAsiaTheme="minorEastAsia" w:cstheme="minorBidi"/>
                <w:sz w:val="20"/>
                <w:szCs w:val="20"/>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E66558" w14:paraId="2A7D554E" w14:textId="77777777">
            <w:pPr>
              <w:pStyle w:val="TableRowCentered"/>
              <w:jc w:val="left"/>
              <w:rPr>
                <w:rFonts w:asciiTheme="minorHAnsi" w:hAnsiTheme="minorHAnsi" w:eastAsiaTheme="minorEastAsia" w:cstheme="minorBidi"/>
                <w:sz w:val="20"/>
              </w:rPr>
            </w:pPr>
          </w:p>
        </w:tc>
      </w:tr>
      <w:tr w:rsidRPr="006875F8" w:rsidR="00E66558" w:rsidTr="297BACBC"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E66558" w14:paraId="2A7D5550" w14:textId="77777777">
            <w:pPr>
              <w:pStyle w:val="TableRow"/>
              <w:rPr>
                <w:rFonts w:asciiTheme="minorHAnsi" w:hAnsiTheme="minorHAnsi" w:eastAsiaTheme="minorEastAsia" w:cstheme="minorBidi"/>
                <w:sz w:val="20"/>
                <w:szCs w:val="20"/>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E66558" w14:paraId="2A7D5551" w14:textId="77777777">
            <w:pPr>
              <w:pStyle w:val="TableRowCentered"/>
              <w:jc w:val="left"/>
              <w:rPr>
                <w:rFonts w:asciiTheme="minorHAnsi" w:hAnsiTheme="minorHAnsi" w:eastAsiaTheme="minorEastAsia" w:cstheme="minorBidi"/>
                <w:sz w:val="20"/>
              </w:rPr>
            </w:pPr>
          </w:p>
        </w:tc>
      </w:tr>
    </w:tbl>
    <w:p w:rsidRPr="006875F8" w:rsidR="00E66558" w:rsidP="297BACBC" w:rsidRDefault="009D71E8" w14:paraId="2A7D5553" w14:textId="77777777">
      <w:pPr>
        <w:pStyle w:val="Heading2"/>
        <w:shd w:val="clear" w:color="auto" w:fill="808080" w:themeFill="background1" w:themeFillShade="80"/>
        <w:spacing w:before="600"/>
        <w:rPr>
          <w:rFonts w:asciiTheme="minorHAnsi" w:hAnsiTheme="minorHAnsi" w:eastAsiaTheme="minorEastAsia" w:cstheme="minorBidi"/>
          <w:color w:val="FFFFFF" w:themeColor="background1"/>
          <w:sz w:val="24"/>
          <w:szCs w:val="24"/>
        </w:rPr>
      </w:pPr>
      <w:r w:rsidRPr="297BACBC">
        <w:rPr>
          <w:rFonts w:asciiTheme="minorHAnsi" w:hAnsiTheme="minorHAnsi" w:eastAsiaTheme="minorEastAsia" w:cstheme="minorBidi"/>
          <w:color w:val="FFFFFF" w:themeColor="background1"/>
          <w:sz w:val="24"/>
          <w:szCs w:val="24"/>
        </w:rPr>
        <w:t>Service pupil premium funding (optional)</w:t>
      </w:r>
    </w:p>
    <w:p w:rsidRPr="006875F8" w:rsidR="00E66558" w:rsidP="297BACBC" w:rsidRDefault="009D71E8" w14:paraId="2A7D5554" w14:textId="77777777">
      <w:pPr>
        <w:rPr>
          <w:rFonts w:asciiTheme="minorHAnsi" w:hAnsiTheme="minorHAnsi" w:eastAsiaTheme="minorEastAsia" w:cstheme="minorBidi"/>
          <w:i/>
          <w:iCs/>
          <w:sz w:val="20"/>
          <w:szCs w:val="20"/>
        </w:rPr>
      </w:pPr>
      <w:r w:rsidRPr="297BACBC">
        <w:rPr>
          <w:rFonts w:asciiTheme="minorHAnsi" w:hAnsiTheme="minorHAnsi" w:eastAsiaTheme="minorEastAsia" w:cstheme="minorBidi"/>
          <w:i/>
          <w:iCs/>
          <w:sz w:val="20"/>
          <w:szCs w:val="20"/>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Pr="00484BA0" w:rsidR="00E66558" w:rsidTr="297BACBC"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484BA0" w:rsidR="00E66558" w:rsidP="297BACBC" w:rsidRDefault="009D71E8" w14:paraId="2A7D5555" w14:textId="77777777">
            <w:pPr>
              <w:pStyle w:val="TableHeader"/>
              <w:jc w:val="left"/>
              <w:rPr>
                <w:rFonts w:asciiTheme="minorHAnsi" w:hAnsiTheme="minorHAnsi" w:eastAsiaTheme="minorEastAsia" w:cstheme="minorBidi"/>
                <w:sz w:val="18"/>
                <w:szCs w:val="18"/>
              </w:rPr>
            </w:pPr>
            <w:bookmarkStart w:name="_Hlk80604898" w:id="18"/>
            <w:r w:rsidRPr="297BACBC">
              <w:rPr>
                <w:rFonts w:asciiTheme="minorHAnsi" w:hAnsiTheme="minorHAnsi" w:eastAsiaTheme="minorEastAsia" w:cstheme="minorBidi"/>
                <w:sz w:val="18"/>
                <w:szCs w:val="18"/>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2D69B" w:themeFill="accent3" w:themeFillTint="99"/>
            <w:tcMar>
              <w:top w:w="0" w:type="dxa"/>
              <w:left w:w="108" w:type="dxa"/>
              <w:bottom w:w="0" w:type="dxa"/>
              <w:right w:w="108" w:type="dxa"/>
            </w:tcMar>
          </w:tcPr>
          <w:p w:rsidRPr="00484BA0" w:rsidR="00E66558" w:rsidP="297BACBC" w:rsidRDefault="009D71E8" w14:paraId="2A7D5556" w14:textId="77777777">
            <w:pPr>
              <w:pStyle w:val="TableHeader"/>
              <w:jc w:val="left"/>
              <w:rPr>
                <w:rFonts w:asciiTheme="minorHAnsi" w:hAnsiTheme="minorHAnsi" w:eastAsiaTheme="minorEastAsia" w:cstheme="minorBidi"/>
                <w:sz w:val="18"/>
                <w:szCs w:val="18"/>
              </w:rPr>
            </w:pPr>
            <w:r w:rsidRPr="297BACBC">
              <w:rPr>
                <w:rFonts w:asciiTheme="minorHAnsi" w:hAnsiTheme="minorHAnsi" w:eastAsiaTheme="minorEastAsia" w:cstheme="minorBidi"/>
                <w:sz w:val="18"/>
                <w:szCs w:val="18"/>
              </w:rPr>
              <w:t xml:space="preserve">Details </w:t>
            </w:r>
          </w:p>
        </w:tc>
      </w:tr>
      <w:tr w:rsidRPr="00484BA0" w:rsidR="00484BA0" w:rsidTr="297BACBC" w14:paraId="2A7D555A"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484BA0" w:rsidR="00484BA0" w:rsidP="297BACBC" w:rsidRDefault="0CE51CB7" w14:paraId="2A7D5559" w14:textId="195B172E">
            <w:pPr>
              <w:pStyle w:val="TableRowCentered"/>
              <w:jc w:val="left"/>
              <w:rPr>
                <w:rFonts w:asciiTheme="minorHAnsi" w:hAnsiTheme="minorHAnsi" w:eastAsiaTheme="minorEastAsia" w:cstheme="minorBidi"/>
                <w:sz w:val="18"/>
                <w:szCs w:val="18"/>
              </w:rPr>
            </w:pPr>
            <w:r w:rsidRPr="297BACBC">
              <w:rPr>
                <w:rFonts w:asciiTheme="minorHAnsi" w:hAnsiTheme="minorHAnsi" w:eastAsiaTheme="minorEastAsia" w:cstheme="minorBidi"/>
                <w:color w:val="000000" w:themeColor="text1"/>
                <w:sz w:val="18"/>
                <w:szCs w:val="18"/>
              </w:rPr>
              <w:t>How our service pupil premium allocation was spent last academic year</w:t>
            </w:r>
          </w:p>
        </w:tc>
      </w:tr>
      <w:tr w:rsidRPr="00484BA0" w:rsidR="00484BA0" w:rsidTr="297BACBC" w14:paraId="2412AEA3"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84BA0" w:rsidR="00484BA0" w:rsidP="297BACBC" w:rsidRDefault="00484BA0" w14:paraId="31F877A4" w14:textId="77777777">
            <w:pPr>
              <w:pStyle w:val="TableRowCentered"/>
              <w:jc w:val="left"/>
              <w:rPr>
                <w:rFonts w:asciiTheme="minorHAnsi" w:hAnsiTheme="minorHAnsi" w:eastAsiaTheme="minorEastAsia" w:cstheme="minorBidi"/>
                <w:sz w:val="18"/>
                <w:szCs w:val="18"/>
              </w:rPr>
            </w:pPr>
          </w:p>
        </w:tc>
      </w:tr>
      <w:tr w:rsidRPr="00484BA0" w:rsidR="00484BA0" w:rsidTr="297BACBC" w14:paraId="2A7D555D"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Pr="00484BA0" w:rsidR="00484BA0" w:rsidP="297BACBC" w:rsidRDefault="0CE51CB7" w14:paraId="2A7D555C" w14:textId="25D338F2">
            <w:pPr>
              <w:pStyle w:val="TableRowCentered"/>
              <w:jc w:val="left"/>
              <w:rPr>
                <w:rFonts w:asciiTheme="minorHAnsi" w:hAnsiTheme="minorHAnsi" w:eastAsiaTheme="minorEastAsia" w:cstheme="minorBidi"/>
                <w:sz w:val="18"/>
                <w:szCs w:val="18"/>
              </w:rPr>
            </w:pPr>
            <w:r w:rsidRPr="297BACBC">
              <w:rPr>
                <w:rFonts w:asciiTheme="minorHAnsi" w:hAnsiTheme="minorHAnsi" w:eastAsiaTheme="minorEastAsia" w:cstheme="minorBidi"/>
                <w:color w:val="000000" w:themeColor="text1"/>
                <w:sz w:val="18"/>
                <w:szCs w:val="18"/>
              </w:rPr>
              <w:t>The impact of that spending on service pupil premium eligible pupils</w:t>
            </w:r>
          </w:p>
        </w:tc>
      </w:tr>
      <w:tr w:rsidRPr="00484BA0" w:rsidR="00484BA0" w:rsidTr="297BACBC" w14:paraId="0D2D4B24"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84BA0" w:rsidR="00484BA0" w:rsidP="297BACBC" w:rsidRDefault="00484BA0" w14:paraId="3EACFB31" w14:textId="77777777">
            <w:pPr>
              <w:pStyle w:val="TableRowCentered"/>
              <w:jc w:val="left"/>
              <w:rPr>
                <w:rFonts w:asciiTheme="minorHAnsi" w:hAnsiTheme="minorHAnsi" w:eastAsiaTheme="minorEastAsia" w:cstheme="minorBidi"/>
                <w:color w:val="000000"/>
                <w:sz w:val="18"/>
                <w:szCs w:val="18"/>
              </w:rPr>
            </w:pPr>
          </w:p>
        </w:tc>
      </w:tr>
      <w:bookmarkEnd w:id="18"/>
    </w:tbl>
    <w:p w:rsidRPr="006875F8" w:rsidR="00E66558" w:rsidP="297BACBC" w:rsidRDefault="00E66558" w14:paraId="2A7D555E" w14:textId="77777777">
      <w:pPr>
        <w:rPr>
          <w:rFonts w:asciiTheme="minorHAnsi" w:hAnsiTheme="minorHAnsi" w:eastAsiaTheme="minorEastAsia" w:cstheme="minorBidi"/>
          <w:sz w:val="20"/>
          <w:szCs w:val="20"/>
        </w:rPr>
      </w:pPr>
    </w:p>
    <w:p w:rsidRPr="006875F8" w:rsidR="00E66558" w:rsidP="297BACBC" w:rsidRDefault="009D71E8" w14:paraId="2A7D5560" w14:textId="77777777">
      <w:pPr>
        <w:pStyle w:val="Heading1"/>
        <w:shd w:val="clear" w:color="auto" w:fill="808080" w:themeFill="background1" w:themeFillShade="80"/>
        <w:rPr>
          <w:rFonts w:asciiTheme="minorHAnsi" w:hAnsiTheme="minorHAnsi" w:eastAsiaTheme="minorEastAsia" w:cstheme="minorBidi"/>
          <w:color w:val="FFFFFF" w:themeColor="background1"/>
          <w:sz w:val="28"/>
          <w:szCs w:val="28"/>
        </w:rPr>
      </w:pPr>
      <w:r w:rsidRPr="297BACBC">
        <w:rPr>
          <w:rFonts w:asciiTheme="minorHAnsi" w:hAnsiTheme="minorHAnsi" w:eastAsiaTheme="minorEastAsia" w:cstheme="minorBidi"/>
          <w:color w:val="FFFFFF" w:themeColor="background1"/>
          <w:sz w:val="28"/>
          <w:szCs w:val="28"/>
        </w:rPr>
        <w:t>Further information (optional)</w:t>
      </w:r>
    </w:p>
    <w:tbl>
      <w:tblPr>
        <w:tblW w:w="9486" w:type="dxa"/>
        <w:tblCellMar>
          <w:left w:w="10" w:type="dxa"/>
          <w:right w:w="10" w:type="dxa"/>
        </w:tblCellMar>
        <w:tblLook w:val="04A0" w:firstRow="1" w:lastRow="0" w:firstColumn="1" w:lastColumn="0" w:noHBand="0" w:noVBand="1"/>
      </w:tblPr>
      <w:tblGrid>
        <w:gridCol w:w="9486"/>
      </w:tblGrid>
      <w:tr w:rsidRPr="006875F8" w:rsidR="00E66558" w:rsidTr="297BACBC" w14:paraId="2A7D5563" w14:textId="77777777">
        <w:trPr>
          <w:trHeight w:val="2946"/>
        </w:trPr>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875F8" w:rsidR="00E66558" w:rsidP="297BACBC" w:rsidRDefault="00E66558" w14:paraId="2A7D5562" w14:textId="77777777">
            <w:pPr>
              <w:spacing w:before="120" w:after="120"/>
              <w:rPr>
                <w:rFonts w:asciiTheme="minorHAnsi" w:hAnsiTheme="minorHAnsi" w:eastAsiaTheme="minorEastAsia" w:cstheme="minorBidi"/>
                <w:i/>
                <w:iCs/>
                <w:sz w:val="20"/>
                <w:szCs w:val="20"/>
              </w:rPr>
            </w:pPr>
          </w:p>
        </w:tc>
      </w:tr>
      <w:bookmarkEnd w:id="14"/>
      <w:bookmarkEnd w:id="15"/>
      <w:bookmarkEnd w:id="16"/>
    </w:tbl>
    <w:p w:rsidRPr="006875F8" w:rsidR="00E66558" w:rsidP="297BACBC" w:rsidRDefault="00E66558" w14:paraId="2A7D5564" w14:textId="77777777">
      <w:pPr>
        <w:rPr>
          <w:rFonts w:asciiTheme="minorHAnsi" w:hAnsiTheme="minorHAnsi" w:eastAsiaTheme="minorEastAsia" w:cstheme="minorBidi"/>
          <w:sz w:val="20"/>
          <w:szCs w:val="20"/>
        </w:rPr>
      </w:pPr>
    </w:p>
    <w:sectPr w:rsidRPr="006875F8" w:rsidR="00E66558">
      <w:headerReference w:type="default" r:id="rId20"/>
      <w:footerReference w:type="default" r:id="rId2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41" w:rsidRDefault="008C0041" w14:paraId="42877132" w14:textId="77777777">
      <w:pPr>
        <w:spacing w:after="0" w:line="240" w:lineRule="auto"/>
      </w:pPr>
      <w:r>
        <w:separator/>
      </w:r>
    </w:p>
  </w:endnote>
  <w:endnote w:type="continuationSeparator" w:id="0">
    <w:p w:rsidR="008C0041" w:rsidRDefault="008C0041" w14:paraId="7DBC06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E28A4" w:rsidRDefault="005F2DB3" w14:paraId="2A7D54BE" w14:textId="1D339EA0">
    <w:pPr>
      <w:pStyle w:val="Footer"/>
      <w:ind w:firstLine="4513"/>
    </w:pPr>
    <w:r>
      <w:rPr>
        <w:noProof/>
        <w:color w:val="FFFFFF" w:themeColor="background1"/>
      </w:rPr>
      <w:drawing>
        <wp:anchor distT="0" distB="0" distL="114300" distR="114300" simplePos="0" relativeHeight="251659264" behindDoc="0" locked="0" layoutInCell="1" allowOverlap="1" wp14:anchorId="33B7DBA8" wp14:editId="491CE6A0">
          <wp:simplePos x="0" y="0"/>
          <wp:positionH relativeFrom="column">
            <wp:posOffset>5928360</wp:posOffset>
          </wp:positionH>
          <wp:positionV relativeFrom="paragraph">
            <wp:posOffset>15240</wp:posOffset>
          </wp:positionV>
          <wp:extent cx="666315" cy="384056"/>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15" cy="384056"/>
                  </a:xfrm>
                  <a:prstGeom prst="rect">
                    <a:avLst/>
                  </a:prstGeom>
                </pic:spPr>
              </pic:pic>
            </a:graphicData>
          </a:graphic>
          <wp14:sizeRelH relativeFrom="margin">
            <wp14:pctWidth>0</wp14:pctWidth>
          </wp14:sizeRelH>
          <wp14:sizeRelV relativeFrom="margin">
            <wp14:pctHeight>0</wp14:pctHeight>
          </wp14:sizeRelV>
        </wp:anchor>
      </w:drawing>
    </w:r>
    <w:r w:rsidR="009D71E8">
      <w:fldChar w:fldCharType="begin"/>
    </w:r>
    <w:r w:rsidR="009D71E8">
      <w:instrText xml:space="preserve"> PAGE </w:instrText>
    </w:r>
    <w:r w:rsidR="009D71E8">
      <w:fldChar w:fldCharType="separate"/>
    </w:r>
    <w:r w:rsidR="00933939">
      <w:rPr>
        <w:noProof/>
      </w:rPr>
      <w:t>6</w:t>
    </w:r>
    <w:r w:rsidR="009D71E8">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41" w:rsidRDefault="008C0041" w14:paraId="73A6D069" w14:textId="77777777">
      <w:pPr>
        <w:spacing w:after="0" w:line="240" w:lineRule="auto"/>
      </w:pPr>
      <w:r>
        <w:separator/>
      </w:r>
    </w:p>
  </w:footnote>
  <w:footnote w:type="continuationSeparator" w:id="0">
    <w:p w:rsidR="008C0041" w:rsidRDefault="008C0041" w14:paraId="5D5DB9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tblLayout w:type="fixed"/>
      <w:tblLook w:val="06A0" w:firstRow="1" w:lastRow="0" w:firstColumn="1" w:lastColumn="0" w:noHBand="1" w:noVBand="1"/>
    </w:tblPr>
    <w:tblGrid>
      <w:gridCol w:w="3165"/>
      <w:gridCol w:w="3165"/>
      <w:gridCol w:w="3165"/>
    </w:tblGrid>
    <w:tr w:rsidR="4078E99F" w:rsidTr="4078E99F" w14:paraId="0D8352A5" w14:textId="77777777">
      <w:trPr>
        <w:trHeight w:val="300"/>
      </w:trPr>
      <w:tc>
        <w:tcPr>
          <w:tcW w:w="3165" w:type="dxa"/>
        </w:tcPr>
        <w:p w:rsidR="4078E99F" w:rsidP="4078E99F" w:rsidRDefault="4078E99F" w14:paraId="22DD8740" w14:textId="4432B4D7">
          <w:pPr>
            <w:pStyle w:val="Header"/>
            <w:ind w:left="-115"/>
          </w:pPr>
        </w:p>
      </w:tc>
      <w:tc>
        <w:tcPr>
          <w:tcW w:w="3165" w:type="dxa"/>
        </w:tcPr>
        <w:p w:rsidR="4078E99F" w:rsidP="4078E99F" w:rsidRDefault="4078E99F" w14:paraId="7B772282" w14:textId="76DEA4E7">
          <w:pPr>
            <w:pStyle w:val="Header"/>
            <w:jc w:val="center"/>
          </w:pPr>
        </w:p>
      </w:tc>
      <w:tc>
        <w:tcPr>
          <w:tcW w:w="3165" w:type="dxa"/>
        </w:tcPr>
        <w:p w:rsidR="4078E99F" w:rsidP="4078E99F" w:rsidRDefault="4078E99F" w14:paraId="558FB8D4" w14:textId="4578DE9C">
          <w:pPr>
            <w:pStyle w:val="Header"/>
            <w:ind w:right="-115"/>
            <w:jc w:val="right"/>
            <w:rPr>
              <w:rFonts w:asciiTheme="minorHAnsi" w:hAnsiTheme="minorHAnsi" w:eastAsiaTheme="minorEastAsia" w:cstheme="minorBidi"/>
              <w:color w:val="auto"/>
              <w:sz w:val="22"/>
              <w:szCs w:val="22"/>
            </w:rPr>
          </w:pPr>
          <w:r>
            <w:rPr>
              <w:noProof/>
            </w:rPr>
            <w:drawing>
              <wp:inline distT="0" distB="0" distL="0" distR="0" wp14:anchorId="0834D8B2" wp14:editId="0CE93C0A">
                <wp:extent cx="1669159" cy="942380"/>
                <wp:effectExtent l="0" t="0" r="0" b="0"/>
                <wp:docPr id="1007352540" name="Picture 100735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69159" cy="942380"/>
                        </a:xfrm>
                        <a:prstGeom prst="rect">
                          <a:avLst/>
                        </a:prstGeom>
                      </pic:spPr>
                    </pic:pic>
                  </a:graphicData>
                </a:graphic>
              </wp:inline>
            </w:drawing>
          </w:r>
        </w:p>
      </w:tc>
    </w:tr>
  </w:tbl>
  <w:p w:rsidR="4078E99F" w:rsidP="4078E99F" w:rsidRDefault="4078E99F" w14:paraId="25C58A50" w14:textId="4666AA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3DA"/>
    <w:rsid w:val="00053C11"/>
    <w:rsid w:val="00066B73"/>
    <w:rsid w:val="00097866"/>
    <w:rsid w:val="000C0115"/>
    <w:rsid w:val="0011366D"/>
    <w:rsid w:val="00115826"/>
    <w:rsid w:val="00120AB1"/>
    <w:rsid w:val="001269F5"/>
    <w:rsid w:val="001C4528"/>
    <w:rsid w:val="002075A6"/>
    <w:rsid w:val="00233E48"/>
    <w:rsid w:val="002767A7"/>
    <w:rsid w:val="00311FB5"/>
    <w:rsid w:val="003B2F61"/>
    <w:rsid w:val="003D4797"/>
    <w:rsid w:val="004044AA"/>
    <w:rsid w:val="004461C6"/>
    <w:rsid w:val="004639F8"/>
    <w:rsid w:val="00484BA0"/>
    <w:rsid w:val="004864E2"/>
    <w:rsid w:val="004974DC"/>
    <w:rsid w:val="004A6181"/>
    <w:rsid w:val="004C0D5E"/>
    <w:rsid w:val="004E7CE9"/>
    <w:rsid w:val="00550705"/>
    <w:rsid w:val="00583B55"/>
    <w:rsid w:val="005B2A2B"/>
    <w:rsid w:val="005B4DB3"/>
    <w:rsid w:val="005F2DB3"/>
    <w:rsid w:val="0060752F"/>
    <w:rsid w:val="00641A78"/>
    <w:rsid w:val="00654894"/>
    <w:rsid w:val="00681074"/>
    <w:rsid w:val="006875F8"/>
    <w:rsid w:val="00697578"/>
    <w:rsid w:val="006E7FB1"/>
    <w:rsid w:val="006F3C5B"/>
    <w:rsid w:val="00725B65"/>
    <w:rsid w:val="00741B9E"/>
    <w:rsid w:val="007C2F04"/>
    <w:rsid w:val="008663A2"/>
    <w:rsid w:val="008B1301"/>
    <w:rsid w:val="008C0041"/>
    <w:rsid w:val="008F1E64"/>
    <w:rsid w:val="00933939"/>
    <w:rsid w:val="0099F709"/>
    <w:rsid w:val="009B2BEC"/>
    <w:rsid w:val="009D71E8"/>
    <w:rsid w:val="00A334F2"/>
    <w:rsid w:val="00A67A44"/>
    <w:rsid w:val="00A9681D"/>
    <w:rsid w:val="00AC3169"/>
    <w:rsid w:val="00AF4817"/>
    <w:rsid w:val="00B412B2"/>
    <w:rsid w:val="00B72DD3"/>
    <w:rsid w:val="00CF6E1C"/>
    <w:rsid w:val="00D33FE5"/>
    <w:rsid w:val="00DC34FE"/>
    <w:rsid w:val="00DE377B"/>
    <w:rsid w:val="00E12882"/>
    <w:rsid w:val="00E66558"/>
    <w:rsid w:val="00EA0504"/>
    <w:rsid w:val="00EB3EF7"/>
    <w:rsid w:val="00F9B590"/>
    <w:rsid w:val="00FC57D3"/>
    <w:rsid w:val="00FF6E6B"/>
    <w:rsid w:val="010127ED"/>
    <w:rsid w:val="010D2A13"/>
    <w:rsid w:val="0125827B"/>
    <w:rsid w:val="014011FA"/>
    <w:rsid w:val="01A4F89C"/>
    <w:rsid w:val="01CAF8F3"/>
    <w:rsid w:val="01FEB605"/>
    <w:rsid w:val="0208AE91"/>
    <w:rsid w:val="020C6019"/>
    <w:rsid w:val="0221E97D"/>
    <w:rsid w:val="0235C76A"/>
    <w:rsid w:val="02402800"/>
    <w:rsid w:val="028F2C8C"/>
    <w:rsid w:val="02DC016B"/>
    <w:rsid w:val="02FCA455"/>
    <w:rsid w:val="03072C29"/>
    <w:rsid w:val="03257AB2"/>
    <w:rsid w:val="037942D1"/>
    <w:rsid w:val="0389DADB"/>
    <w:rsid w:val="03AA3567"/>
    <w:rsid w:val="03D197CB"/>
    <w:rsid w:val="044FF47D"/>
    <w:rsid w:val="04548D9C"/>
    <w:rsid w:val="04A2FC8A"/>
    <w:rsid w:val="05028734"/>
    <w:rsid w:val="05326425"/>
    <w:rsid w:val="05587E52"/>
    <w:rsid w:val="05739FC8"/>
    <w:rsid w:val="0575A99A"/>
    <w:rsid w:val="0577C8C2"/>
    <w:rsid w:val="05CBAA15"/>
    <w:rsid w:val="06068FE0"/>
    <w:rsid w:val="06344517"/>
    <w:rsid w:val="06384C8E"/>
    <w:rsid w:val="0699AA6B"/>
    <w:rsid w:val="06E12C3A"/>
    <w:rsid w:val="06FBFA64"/>
    <w:rsid w:val="070F5B8F"/>
    <w:rsid w:val="071B72ED"/>
    <w:rsid w:val="078C1AA8"/>
    <w:rsid w:val="0811AF43"/>
    <w:rsid w:val="0868D56D"/>
    <w:rsid w:val="08D2CBF9"/>
    <w:rsid w:val="0931DA6B"/>
    <w:rsid w:val="09642B50"/>
    <w:rsid w:val="09C5E23E"/>
    <w:rsid w:val="09D93AC5"/>
    <w:rsid w:val="09F8EE03"/>
    <w:rsid w:val="0ACB07AE"/>
    <w:rsid w:val="0B00522D"/>
    <w:rsid w:val="0B30393B"/>
    <w:rsid w:val="0B349C42"/>
    <w:rsid w:val="0B3C618F"/>
    <w:rsid w:val="0C21CE90"/>
    <w:rsid w:val="0CE51CB7"/>
    <w:rsid w:val="0CF749F0"/>
    <w:rsid w:val="0D24C8ED"/>
    <w:rsid w:val="0D478255"/>
    <w:rsid w:val="0D7473F0"/>
    <w:rsid w:val="0D80BB7F"/>
    <w:rsid w:val="0D88C2E0"/>
    <w:rsid w:val="0DA56A5A"/>
    <w:rsid w:val="0E03386E"/>
    <w:rsid w:val="0E89F6C6"/>
    <w:rsid w:val="0EC0994E"/>
    <w:rsid w:val="0ED93B2E"/>
    <w:rsid w:val="0F2DBE14"/>
    <w:rsid w:val="0F728FC9"/>
    <w:rsid w:val="0FAE2963"/>
    <w:rsid w:val="1005B781"/>
    <w:rsid w:val="10515C45"/>
    <w:rsid w:val="10A0A664"/>
    <w:rsid w:val="10B4F604"/>
    <w:rsid w:val="10BE023F"/>
    <w:rsid w:val="10C61BE6"/>
    <w:rsid w:val="10CA42B9"/>
    <w:rsid w:val="11646D7D"/>
    <w:rsid w:val="1196B9BA"/>
    <w:rsid w:val="11B93FF6"/>
    <w:rsid w:val="11EB5A59"/>
    <w:rsid w:val="11F83A10"/>
    <w:rsid w:val="12160805"/>
    <w:rsid w:val="125C35C2"/>
    <w:rsid w:val="1266131A"/>
    <w:rsid w:val="127D6CB3"/>
    <w:rsid w:val="128BCA3F"/>
    <w:rsid w:val="12A4F5AC"/>
    <w:rsid w:val="12D25B6C"/>
    <w:rsid w:val="12D46094"/>
    <w:rsid w:val="130D4872"/>
    <w:rsid w:val="1387102E"/>
    <w:rsid w:val="138A4501"/>
    <w:rsid w:val="138B4983"/>
    <w:rsid w:val="13B2679B"/>
    <w:rsid w:val="13C44785"/>
    <w:rsid w:val="145D72A5"/>
    <w:rsid w:val="1483EB1C"/>
    <w:rsid w:val="148CC5DF"/>
    <w:rsid w:val="14E7B9D5"/>
    <w:rsid w:val="152FDAD2"/>
    <w:rsid w:val="1541E9FE"/>
    <w:rsid w:val="15967C0A"/>
    <w:rsid w:val="15DC966E"/>
    <w:rsid w:val="166890B3"/>
    <w:rsid w:val="1677FFFB"/>
    <w:rsid w:val="16A6AB6E"/>
    <w:rsid w:val="16CBAB33"/>
    <w:rsid w:val="1720046F"/>
    <w:rsid w:val="1739843D"/>
    <w:rsid w:val="17764C6B"/>
    <w:rsid w:val="177768A8"/>
    <w:rsid w:val="17A2B388"/>
    <w:rsid w:val="17C8CB86"/>
    <w:rsid w:val="182DDB3E"/>
    <w:rsid w:val="18606389"/>
    <w:rsid w:val="18ED2268"/>
    <w:rsid w:val="19649BE7"/>
    <w:rsid w:val="1A335EEC"/>
    <w:rsid w:val="1A53B667"/>
    <w:rsid w:val="1A5F32D9"/>
    <w:rsid w:val="1A7124FF"/>
    <w:rsid w:val="1B006C48"/>
    <w:rsid w:val="1B8DF3F5"/>
    <w:rsid w:val="1B9E9854"/>
    <w:rsid w:val="1BB9FB9F"/>
    <w:rsid w:val="1BD43266"/>
    <w:rsid w:val="1BEEFF10"/>
    <w:rsid w:val="1BF12C95"/>
    <w:rsid w:val="1C0CEE18"/>
    <w:rsid w:val="1C4EB0F8"/>
    <w:rsid w:val="1C60C374"/>
    <w:rsid w:val="1CDD48B5"/>
    <w:rsid w:val="1CEDC50E"/>
    <w:rsid w:val="1D0D57BD"/>
    <w:rsid w:val="1D3F152F"/>
    <w:rsid w:val="1D8C4DB5"/>
    <w:rsid w:val="1D96D14F"/>
    <w:rsid w:val="1DAC3985"/>
    <w:rsid w:val="1DC9ED6A"/>
    <w:rsid w:val="1DCA3257"/>
    <w:rsid w:val="1E42CCC6"/>
    <w:rsid w:val="1E9C9A7A"/>
    <w:rsid w:val="1ECC06DA"/>
    <w:rsid w:val="1EDEAA9E"/>
    <w:rsid w:val="1EF62D51"/>
    <w:rsid w:val="1F0B237E"/>
    <w:rsid w:val="1F269FD2"/>
    <w:rsid w:val="1F3A9D30"/>
    <w:rsid w:val="1F401A2B"/>
    <w:rsid w:val="2020786B"/>
    <w:rsid w:val="2030DC62"/>
    <w:rsid w:val="2068416F"/>
    <w:rsid w:val="20A553C3"/>
    <w:rsid w:val="20D2DFE7"/>
    <w:rsid w:val="20EF508B"/>
    <w:rsid w:val="20F60E37"/>
    <w:rsid w:val="213A4062"/>
    <w:rsid w:val="21402B89"/>
    <w:rsid w:val="214D3A57"/>
    <w:rsid w:val="2158EDE7"/>
    <w:rsid w:val="2197862D"/>
    <w:rsid w:val="222C1F5D"/>
    <w:rsid w:val="22412424"/>
    <w:rsid w:val="2276577F"/>
    <w:rsid w:val="22DD44FD"/>
    <w:rsid w:val="230C6B38"/>
    <w:rsid w:val="2318DBC7"/>
    <w:rsid w:val="2358DA00"/>
    <w:rsid w:val="2382686A"/>
    <w:rsid w:val="2398F364"/>
    <w:rsid w:val="23BB8400"/>
    <w:rsid w:val="23DFE15C"/>
    <w:rsid w:val="2402246D"/>
    <w:rsid w:val="2413A48E"/>
    <w:rsid w:val="244A733D"/>
    <w:rsid w:val="24A31D46"/>
    <w:rsid w:val="24A83B99"/>
    <w:rsid w:val="24ABEB5F"/>
    <w:rsid w:val="250B4A4D"/>
    <w:rsid w:val="252D0E12"/>
    <w:rsid w:val="2537E08A"/>
    <w:rsid w:val="255C2B98"/>
    <w:rsid w:val="255CC3B5"/>
    <w:rsid w:val="25CD449A"/>
    <w:rsid w:val="26387A75"/>
    <w:rsid w:val="2653B70E"/>
    <w:rsid w:val="2669FC94"/>
    <w:rsid w:val="2689A449"/>
    <w:rsid w:val="26BF9B34"/>
    <w:rsid w:val="26DDB02F"/>
    <w:rsid w:val="27E5B026"/>
    <w:rsid w:val="27F95F15"/>
    <w:rsid w:val="282A429D"/>
    <w:rsid w:val="2831B9DE"/>
    <w:rsid w:val="28858CE4"/>
    <w:rsid w:val="28BDCF45"/>
    <w:rsid w:val="28D3FAC2"/>
    <w:rsid w:val="28E84151"/>
    <w:rsid w:val="292A638F"/>
    <w:rsid w:val="2942D304"/>
    <w:rsid w:val="297BACBC"/>
    <w:rsid w:val="2981C6FC"/>
    <w:rsid w:val="29E2B3CB"/>
    <w:rsid w:val="29F1EC86"/>
    <w:rsid w:val="2A76DB15"/>
    <w:rsid w:val="2AC3B224"/>
    <w:rsid w:val="2AE6EEA8"/>
    <w:rsid w:val="2AE9065A"/>
    <w:rsid w:val="2B4D7C83"/>
    <w:rsid w:val="2B71E0B1"/>
    <w:rsid w:val="2B7431F5"/>
    <w:rsid w:val="2BBE7DD6"/>
    <w:rsid w:val="2BEB7966"/>
    <w:rsid w:val="2BED59DD"/>
    <w:rsid w:val="2BF9A469"/>
    <w:rsid w:val="2C0A952C"/>
    <w:rsid w:val="2C1D970C"/>
    <w:rsid w:val="2C235DC1"/>
    <w:rsid w:val="2C42D47A"/>
    <w:rsid w:val="2CA0776B"/>
    <w:rsid w:val="2CB1D92E"/>
    <w:rsid w:val="2D6D0ABC"/>
    <w:rsid w:val="2D73578D"/>
    <w:rsid w:val="2D7D52FC"/>
    <w:rsid w:val="2D9E92CD"/>
    <w:rsid w:val="2DDEC450"/>
    <w:rsid w:val="2DE09A6B"/>
    <w:rsid w:val="2E28164E"/>
    <w:rsid w:val="2E365047"/>
    <w:rsid w:val="2E84F3DD"/>
    <w:rsid w:val="2EDA237D"/>
    <w:rsid w:val="2EF4CE68"/>
    <w:rsid w:val="2F34DFA5"/>
    <w:rsid w:val="2F5AFE83"/>
    <w:rsid w:val="2F613FF2"/>
    <w:rsid w:val="2F6FF800"/>
    <w:rsid w:val="2F8E41B6"/>
    <w:rsid w:val="2FEEB77E"/>
    <w:rsid w:val="301D4631"/>
    <w:rsid w:val="30201D30"/>
    <w:rsid w:val="30353947"/>
    <w:rsid w:val="304228C5"/>
    <w:rsid w:val="307B84A8"/>
    <w:rsid w:val="30CD5C1E"/>
    <w:rsid w:val="310BC861"/>
    <w:rsid w:val="315949E7"/>
    <w:rsid w:val="319B7DCE"/>
    <w:rsid w:val="31B83C2F"/>
    <w:rsid w:val="31D124E3"/>
    <w:rsid w:val="31E6B10E"/>
    <w:rsid w:val="32050D52"/>
    <w:rsid w:val="32083C78"/>
    <w:rsid w:val="3234EEE4"/>
    <w:rsid w:val="3250F92D"/>
    <w:rsid w:val="3255C727"/>
    <w:rsid w:val="326F1033"/>
    <w:rsid w:val="32F51A48"/>
    <w:rsid w:val="3320321D"/>
    <w:rsid w:val="3324EA61"/>
    <w:rsid w:val="333BF31D"/>
    <w:rsid w:val="3349B210"/>
    <w:rsid w:val="339E82E3"/>
    <w:rsid w:val="33B65F14"/>
    <w:rsid w:val="33F62E2B"/>
    <w:rsid w:val="3428BB61"/>
    <w:rsid w:val="344B2EBD"/>
    <w:rsid w:val="34D7C37E"/>
    <w:rsid w:val="3529ED4E"/>
    <w:rsid w:val="35614562"/>
    <w:rsid w:val="3563639E"/>
    <w:rsid w:val="3596C775"/>
    <w:rsid w:val="35ED95BB"/>
    <w:rsid w:val="363EAA82"/>
    <w:rsid w:val="36869FB6"/>
    <w:rsid w:val="368E75C2"/>
    <w:rsid w:val="369AB043"/>
    <w:rsid w:val="36BE86B8"/>
    <w:rsid w:val="37265B53"/>
    <w:rsid w:val="37531C48"/>
    <w:rsid w:val="379A5B55"/>
    <w:rsid w:val="37E7EAD1"/>
    <w:rsid w:val="37F1C7F7"/>
    <w:rsid w:val="38337958"/>
    <w:rsid w:val="386DA97B"/>
    <w:rsid w:val="389A02FA"/>
    <w:rsid w:val="38B10E22"/>
    <w:rsid w:val="39054EDA"/>
    <w:rsid w:val="393342DE"/>
    <w:rsid w:val="3945A803"/>
    <w:rsid w:val="395E81F2"/>
    <w:rsid w:val="396D2E60"/>
    <w:rsid w:val="39C5F647"/>
    <w:rsid w:val="39F6ECB1"/>
    <w:rsid w:val="3A2E013E"/>
    <w:rsid w:val="3AB7656C"/>
    <w:rsid w:val="3AF9C07B"/>
    <w:rsid w:val="3B7152A8"/>
    <w:rsid w:val="3BB0203C"/>
    <w:rsid w:val="3BF3EBA5"/>
    <w:rsid w:val="3C04FC68"/>
    <w:rsid w:val="3C0B51C8"/>
    <w:rsid w:val="3C401B4F"/>
    <w:rsid w:val="3C5A1900"/>
    <w:rsid w:val="3C710E32"/>
    <w:rsid w:val="3C83143E"/>
    <w:rsid w:val="3D2F7935"/>
    <w:rsid w:val="3E08F714"/>
    <w:rsid w:val="3E2021D1"/>
    <w:rsid w:val="3EE51847"/>
    <w:rsid w:val="3EF1A213"/>
    <w:rsid w:val="3F03581A"/>
    <w:rsid w:val="3F8B2798"/>
    <w:rsid w:val="3FB16C09"/>
    <w:rsid w:val="3FEB92DA"/>
    <w:rsid w:val="3FEC4700"/>
    <w:rsid w:val="4078E99F"/>
    <w:rsid w:val="40C70159"/>
    <w:rsid w:val="40F6A224"/>
    <w:rsid w:val="41145F6A"/>
    <w:rsid w:val="41317A34"/>
    <w:rsid w:val="41427882"/>
    <w:rsid w:val="4146BE50"/>
    <w:rsid w:val="41773F64"/>
    <w:rsid w:val="41A6F73F"/>
    <w:rsid w:val="42C61C95"/>
    <w:rsid w:val="42D9ACC4"/>
    <w:rsid w:val="42F2D96A"/>
    <w:rsid w:val="42F392F4"/>
    <w:rsid w:val="43B7BE65"/>
    <w:rsid w:val="43D52AB1"/>
    <w:rsid w:val="441775BB"/>
    <w:rsid w:val="442FF5D1"/>
    <w:rsid w:val="444B0ED8"/>
    <w:rsid w:val="44C28EF6"/>
    <w:rsid w:val="4501120D"/>
    <w:rsid w:val="4503FDB2"/>
    <w:rsid w:val="4508E0A5"/>
    <w:rsid w:val="4514FC53"/>
    <w:rsid w:val="455F4959"/>
    <w:rsid w:val="457C2715"/>
    <w:rsid w:val="45B8D7B4"/>
    <w:rsid w:val="45DE3850"/>
    <w:rsid w:val="466AE12F"/>
    <w:rsid w:val="46A84A59"/>
    <w:rsid w:val="46A97EF9"/>
    <w:rsid w:val="46EDDB06"/>
    <w:rsid w:val="4700C252"/>
    <w:rsid w:val="474B0032"/>
    <w:rsid w:val="47BE9E36"/>
    <w:rsid w:val="4827D571"/>
    <w:rsid w:val="483ADA47"/>
    <w:rsid w:val="4851086E"/>
    <w:rsid w:val="485E98DB"/>
    <w:rsid w:val="48764581"/>
    <w:rsid w:val="487832A3"/>
    <w:rsid w:val="488184DD"/>
    <w:rsid w:val="48AF32AF"/>
    <w:rsid w:val="49D6AAA8"/>
    <w:rsid w:val="49F1E802"/>
    <w:rsid w:val="4A730CE5"/>
    <w:rsid w:val="4AC6FA0F"/>
    <w:rsid w:val="4AD0326B"/>
    <w:rsid w:val="4B4C6F81"/>
    <w:rsid w:val="4B5F7633"/>
    <w:rsid w:val="4B9B1ED6"/>
    <w:rsid w:val="4B9B3BF6"/>
    <w:rsid w:val="4B9F2B79"/>
    <w:rsid w:val="4BEDA5CB"/>
    <w:rsid w:val="4C0EDD46"/>
    <w:rsid w:val="4DF0F1D6"/>
    <w:rsid w:val="4EA256D0"/>
    <w:rsid w:val="4EAA97EC"/>
    <w:rsid w:val="4EAC993A"/>
    <w:rsid w:val="4ED62E00"/>
    <w:rsid w:val="4EECD429"/>
    <w:rsid w:val="4EFF10AC"/>
    <w:rsid w:val="4F11159A"/>
    <w:rsid w:val="4F2CA0E2"/>
    <w:rsid w:val="4F5DED8F"/>
    <w:rsid w:val="4F8F6A5F"/>
    <w:rsid w:val="4FADAD3C"/>
    <w:rsid w:val="4FD36075"/>
    <w:rsid w:val="4FD677FA"/>
    <w:rsid w:val="501BFCD9"/>
    <w:rsid w:val="5046684D"/>
    <w:rsid w:val="504D9B4E"/>
    <w:rsid w:val="505DDCAA"/>
    <w:rsid w:val="507BAAB6"/>
    <w:rsid w:val="509A43E2"/>
    <w:rsid w:val="50D66969"/>
    <w:rsid w:val="50ED64E1"/>
    <w:rsid w:val="513F73EF"/>
    <w:rsid w:val="51CA697F"/>
    <w:rsid w:val="51EEDA08"/>
    <w:rsid w:val="521A6AF8"/>
    <w:rsid w:val="52233D56"/>
    <w:rsid w:val="5290EECE"/>
    <w:rsid w:val="52B83DED"/>
    <w:rsid w:val="52DC6779"/>
    <w:rsid w:val="52F1D488"/>
    <w:rsid w:val="53720AA9"/>
    <w:rsid w:val="53AAC924"/>
    <w:rsid w:val="53EC7EBA"/>
    <w:rsid w:val="54315EB2"/>
    <w:rsid w:val="545471D7"/>
    <w:rsid w:val="545E9BE2"/>
    <w:rsid w:val="54833C35"/>
    <w:rsid w:val="5547FBAD"/>
    <w:rsid w:val="554ABDD2"/>
    <w:rsid w:val="55B6B086"/>
    <w:rsid w:val="55CD2F13"/>
    <w:rsid w:val="55D3D764"/>
    <w:rsid w:val="55DEC95E"/>
    <w:rsid w:val="55EAB0AE"/>
    <w:rsid w:val="55EDF900"/>
    <w:rsid w:val="55EEA5A8"/>
    <w:rsid w:val="56494506"/>
    <w:rsid w:val="573A3AE9"/>
    <w:rsid w:val="576B48A6"/>
    <w:rsid w:val="5828CCBD"/>
    <w:rsid w:val="584EDA1B"/>
    <w:rsid w:val="584F36BA"/>
    <w:rsid w:val="594CE060"/>
    <w:rsid w:val="5980E5C8"/>
    <w:rsid w:val="59ED4A93"/>
    <w:rsid w:val="59FEDC0E"/>
    <w:rsid w:val="5A5A18CD"/>
    <w:rsid w:val="5A7809A4"/>
    <w:rsid w:val="5A8438C4"/>
    <w:rsid w:val="5AB3B014"/>
    <w:rsid w:val="5B7CF3A2"/>
    <w:rsid w:val="5B7E5418"/>
    <w:rsid w:val="5B93CC91"/>
    <w:rsid w:val="5BAC80DA"/>
    <w:rsid w:val="5C22B29D"/>
    <w:rsid w:val="5C4F8075"/>
    <w:rsid w:val="5CA1790C"/>
    <w:rsid w:val="5CBD1318"/>
    <w:rsid w:val="5D2276EB"/>
    <w:rsid w:val="5D24EB55"/>
    <w:rsid w:val="5D44F0B6"/>
    <w:rsid w:val="5D515FBA"/>
    <w:rsid w:val="5D665B04"/>
    <w:rsid w:val="5E90B622"/>
    <w:rsid w:val="5EEC1ECF"/>
    <w:rsid w:val="5F8D7574"/>
    <w:rsid w:val="600985A8"/>
    <w:rsid w:val="605F9CAB"/>
    <w:rsid w:val="60B09716"/>
    <w:rsid w:val="61139296"/>
    <w:rsid w:val="6122F198"/>
    <w:rsid w:val="612E990E"/>
    <w:rsid w:val="61657E58"/>
    <w:rsid w:val="61869948"/>
    <w:rsid w:val="61A53910"/>
    <w:rsid w:val="61D5197A"/>
    <w:rsid w:val="61E0AFCF"/>
    <w:rsid w:val="61E50CEA"/>
    <w:rsid w:val="62157980"/>
    <w:rsid w:val="6230AF2C"/>
    <w:rsid w:val="627E3D61"/>
    <w:rsid w:val="629F1B54"/>
    <w:rsid w:val="62ED6FDD"/>
    <w:rsid w:val="62F76BC9"/>
    <w:rsid w:val="631BD292"/>
    <w:rsid w:val="63419EE8"/>
    <w:rsid w:val="63D7FBF4"/>
    <w:rsid w:val="64780AF3"/>
    <w:rsid w:val="65016431"/>
    <w:rsid w:val="653AFC2A"/>
    <w:rsid w:val="656D1762"/>
    <w:rsid w:val="6572CE12"/>
    <w:rsid w:val="658D26F1"/>
    <w:rsid w:val="65F02706"/>
    <w:rsid w:val="661490C2"/>
    <w:rsid w:val="66962BE8"/>
    <w:rsid w:val="66DDECAF"/>
    <w:rsid w:val="66FE83B2"/>
    <w:rsid w:val="67067328"/>
    <w:rsid w:val="6727816E"/>
    <w:rsid w:val="6727FA38"/>
    <w:rsid w:val="67F131C7"/>
    <w:rsid w:val="683A3942"/>
    <w:rsid w:val="68740A48"/>
    <w:rsid w:val="68C1FC43"/>
    <w:rsid w:val="68D45688"/>
    <w:rsid w:val="68F42819"/>
    <w:rsid w:val="698B1416"/>
    <w:rsid w:val="6A02D52A"/>
    <w:rsid w:val="6A435C1F"/>
    <w:rsid w:val="6AA19F91"/>
    <w:rsid w:val="6ADBDEB1"/>
    <w:rsid w:val="6ADE08F3"/>
    <w:rsid w:val="6AF7ECF8"/>
    <w:rsid w:val="6B2633C1"/>
    <w:rsid w:val="6B7FE3E8"/>
    <w:rsid w:val="6BA056C9"/>
    <w:rsid w:val="6BA7D852"/>
    <w:rsid w:val="6BE33C19"/>
    <w:rsid w:val="6C1DE6C2"/>
    <w:rsid w:val="6C25FD39"/>
    <w:rsid w:val="6C29AC9A"/>
    <w:rsid w:val="6C65DBF6"/>
    <w:rsid w:val="6C7DFAD2"/>
    <w:rsid w:val="6C7E85E3"/>
    <w:rsid w:val="6C7FA7C4"/>
    <w:rsid w:val="6CA03D89"/>
    <w:rsid w:val="6CC170AE"/>
    <w:rsid w:val="6CC21851"/>
    <w:rsid w:val="6D24817C"/>
    <w:rsid w:val="6D29EFE2"/>
    <w:rsid w:val="6D5282CF"/>
    <w:rsid w:val="6D5F9E4C"/>
    <w:rsid w:val="6D659037"/>
    <w:rsid w:val="6D7DABB4"/>
    <w:rsid w:val="6D8AB170"/>
    <w:rsid w:val="6DA944EA"/>
    <w:rsid w:val="6DB9B723"/>
    <w:rsid w:val="6DC57CFB"/>
    <w:rsid w:val="6DEDE405"/>
    <w:rsid w:val="6E338C96"/>
    <w:rsid w:val="6EC50261"/>
    <w:rsid w:val="6F185B15"/>
    <w:rsid w:val="6F197C15"/>
    <w:rsid w:val="6F793D0B"/>
    <w:rsid w:val="6F9A6190"/>
    <w:rsid w:val="6FE8B61C"/>
    <w:rsid w:val="7000F0C4"/>
    <w:rsid w:val="70270925"/>
    <w:rsid w:val="7080EDDC"/>
    <w:rsid w:val="70A313DE"/>
    <w:rsid w:val="70B54C76"/>
    <w:rsid w:val="71109388"/>
    <w:rsid w:val="7171F952"/>
    <w:rsid w:val="7174126D"/>
    <w:rsid w:val="71D09C17"/>
    <w:rsid w:val="71F2160E"/>
    <w:rsid w:val="72142B82"/>
    <w:rsid w:val="728D2846"/>
    <w:rsid w:val="72B0DDCD"/>
    <w:rsid w:val="72D2416E"/>
    <w:rsid w:val="73070931"/>
    <w:rsid w:val="7326BB73"/>
    <w:rsid w:val="73573B0E"/>
    <w:rsid w:val="74046157"/>
    <w:rsid w:val="7413023A"/>
    <w:rsid w:val="74422104"/>
    <w:rsid w:val="744891B4"/>
    <w:rsid w:val="744CAE2E"/>
    <w:rsid w:val="74930DC9"/>
    <w:rsid w:val="749CF065"/>
    <w:rsid w:val="74D5B443"/>
    <w:rsid w:val="74FE982D"/>
    <w:rsid w:val="7509CB0D"/>
    <w:rsid w:val="75211B28"/>
    <w:rsid w:val="7530923A"/>
    <w:rsid w:val="75477D24"/>
    <w:rsid w:val="75CC9307"/>
    <w:rsid w:val="75D9599A"/>
    <w:rsid w:val="75E9999C"/>
    <w:rsid w:val="75F1E48A"/>
    <w:rsid w:val="760824A3"/>
    <w:rsid w:val="7639400B"/>
    <w:rsid w:val="767184A4"/>
    <w:rsid w:val="774F5A35"/>
    <w:rsid w:val="777AC2D2"/>
    <w:rsid w:val="77AD5343"/>
    <w:rsid w:val="77B0F88A"/>
    <w:rsid w:val="77B54B41"/>
    <w:rsid w:val="78217A54"/>
    <w:rsid w:val="788A4185"/>
    <w:rsid w:val="78A98744"/>
    <w:rsid w:val="78B72D91"/>
    <w:rsid w:val="78E41303"/>
    <w:rsid w:val="7924301E"/>
    <w:rsid w:val="7930F973"/>
    <w:rsid w:val="795B0D05"/>
    <w:rsid w:val="7964CB68"/>
    <w:rsid w:val="79824230"/>
    <w:rsid w:val="798870D0"/>
    <w:rsid w:val="79FFBDF5"/>
    <w:rsid w:val="7A1B30B0"/>
    <w:rsid w:val="7ABA90D3"/>
    <w:rsid w:val="7AFB9E22"/>
    <w:rsid w:val="7AFC1A43"/>
    <w:rsid w:val="7AFED30D"/>
    <w:rsid w:val="7B44F5C7"/>
    <w:rsid w:val="7BA30869"/>
    <w:rsid w:val="7BC1272F"/>
    <w:rsid w:val="7BF525E5"/>
    <w:rsid w:val="7C21313F"/>
    <w:rsid w:val="7C3ACF15"/>
    <w:rsid w:val="7C756B06"/>
    <w:rsid w:val="7C83ED46"/>
    <w:rsid w:val="7C976E83"/>
    <w:rsid w:val="7D045AEF"/>
    <w:rsid w:val="7D08D74D"/>
    <w:rsid w:val="7D6C1CC8"/>
    <w:rsid w:val="7D90F646"/>
    <w:rsid w:val="7D991776"/>
    <w:rsid w:val="7E47DF97"/>
    <w:rsid w:val="7E90215F"/>
    <w:rsid w:val="7EEE0D78"/>
    <w:rsid w:val="7F1B1926"/>
    <w:rsid w:val="7F618B08"/>
    <w:rsid w:val="7FA3BBCD"/>
    <w:rsid w:val="7FB3DF22"/>
    <w:rsid w:val="7FFD9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Spacing">
    <w:name w:val="No Spacing"/>
    <w:uiPriority w:val="1"/>
    <w:qFormat/>
    <w:rsid w:val="00EB3EF7"/>
    <w:pPr>
      <w:suppressAutoHyphens/>
    </w:pPr>
    <w:rPr>
      <w:color w:val="0D0D0D"/>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teaching-learning-toolkit" TargetMode="External" Id="rId8" /><Relationship Type="http://schemas.openxmlformats.org/officeDocument/2006/relationships/hyperlink" Target="https://educationendowmentfoundation.org.uk/education-evidence/teaching-learning-toolkit" TargetMode="External" Id="rId13" /><Relationship Type="http://schemas.openxmlformats.org/officeDocument/2006/relationships/hyperlink" Target="https://educationendowmentfoundation.org.uk/education-evidence/guidance-reports/supporting-parents" TargetMode="Externa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s://educationendowmentfoundation.org.uk/education-evidence/teaching-learning-toolkit/metacognition-and-self-regulation" TargetMode="External" Id="rId7" /><Relationship Type="http://schemas.openxmlformats.org/officeDocument/2006/relationships/hyperlink" Target="https://assets.publishing.service.gov.uk/government/uploads/system/uploads/attachment_data/file/1099677/Working_together_to_improve_school_attendance.pdf" TargetMode="External"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yperlink" Target="https://www.littlewandlelettersandsounds.org.uk/"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hyperlink" Target="https://fft.org.uk/literacy/reading-assessment-programme/" TargetMode="External" Id="rId15" /><Relationship Type="http://schemas.openxmlformats.org/officeDocument/2006/relationships/theme" Target="theme/theme1.xml" Id="rId23" /><Relationship Type="http://schemas.openxmlformats.org/officeDocument/2006/relationships/hyperlink" Target="https://educationendowmentfoundation.org.uk/education-evidence/guidance-reports/primary-sel" TargetMode="External" Id="rId19" /><Relationship Type="http://schemas.openxmlformats.org/officeDocument/2006/relationships/webSettings" Target="webSettings.xml" Id="rId4" /><Relationship Type="http://schemas.openxmlformats.org/officeDocument/2006/relationships/hyperlink" Target="https://ukhosted15.renlearn.co.uk/1963723/" TargetMode="External" Id="rId9" /><Relationship Type="http://schemas.openxmlformats.org/officeDocument/2006/relationships/hyperlink" Target="https://www.launchpadforliteracy.co.uk/" TargetMode="External" Id="rId14" /><Relationship Type="http://schemas.openxmlformats.org/officeDocument/2006/relationships/fontTable" Target="fontTable.xml" Id="rId22" /><Relationship Type="http://schemas.openxmlformats.org/officeDocument/2006/relationships/hyperlink" Target="https://d2tic4wvo1iusb.cloudfront.net/production/eef-guidancereports/literacy-ks1/Literacy_KS1_Guidance_Report_2020.pdf?v=1688966443" TargetMode="External" Id="R806cbb326e85454e" /><Relationship Type="http://schemas.openxmlformats.org/officeDocument/2006/relationships/hyperlink" Target="https://d2tic4wvo1iusb.cloudfront.net/production/eef-guidancereports/literacy-ks2/EEF-Improving-literacy-in-key-stage-2-reportSecond-edition.pdf?v=1688960393" TargetMode="External" Id="Rd1d7de7503c84d07" /><Relationship Type="http://schemas.openxmlformats.org/officeDocument/2006/relationships/hyperlink" Target="https://www.greatteaching.com/" TargetMode="External" Id="R58e4e628bfd8436c" /><Relationship Type="http://schemas.openxmlformats.org/officeDocument/2006/relationships/hyperlink" Target="https://educationendowmentfoundation.org.uk/education-evidence/guidance-reports/metacognition" TargetMode="External" Id="Racc9e42c452845e7" /><Relationship Type="http://schemas.openxmlformats.org/officeDocument/2006/relationships/hyperlink" Target="https://educationendowmentfoundation.org.uk/educationevidence/guidance-reports/effective-professional-development" TargetMode="External" Id="R2d2e1d9ba02b468b" /><Relationship Type="http://schemas.openxmlformats.org/officeDocument/2006/relationships/image" Target="/media/imagef.png" Id="rId1476536482" /><Relationship Type="http://schemas.openxmlformats.org/officeDocument/2006/relationships/image" Target="/media/image10.png" Id="rId262859266" /><Relationship Type="http://schemas.openxmlformats.org/officeDocument/2006/relationships/image" Target="/media/image11.png" Id="rId1106899084" /><Relationship Type="http://schemas.openxmlformats.org/officeDocument/2006/relationships/image" Target="/media/image12.png" Id="rId960876529" /><Relationship Type="http://schemas.openxmlformats.org/officeDocument/2006/relationships/image" Target="/media/image13.png" Id="rId888667756" /><Relationship Type="http://schemas.openxmlformats.org/officeDocument/2006/relationships/image" Target="/media/image14.png" Id="rId1747477802" /><Relationship Type="http://schemas.openxmlformats.org/officeDocument/2006/relationships/image" Target="/media/image15.png" Id="rId2042786615" /><Relationship Type="http://schemas.openxmlformats.org/officeDocument/2006/relationships/image" Target="/media/image16.png" Id="rId1808996208" /><Relationship Type="http://schemas.openxmlformats.org/officeDocument/2006/relationships/image" Target="/media/image17.png" Id="rId25751683" /><Relationship Type="http://schemas.openxmlformats.org/officeDocument/2006/relationships/image" Target="/media/image18.png" Id="rId72598523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2F7119D96324FB2F6FCD4EEB0970A" ma:contentTypeVersion="6" ma:contentTypeDescription="Create a new document." ma:contentTypeScope="" ma:versionID="4d851b272c01ea4b69ed20571aa23c86">
  <xsd:schema xmlns:xsd="http://www.w3.org/2001/XMLSchema" xmlns:xs="http://www.w3.org/2001/XMLSchema" xmlns:p="http://schemas.microsoft.com/office/2006/metadata/properties" xmlns:ns2="99b5c339-67b5-426a-bb6f-852471994bd1" xmlns:ns3="a3a186f0-bd72-4204-bbb4-ae71a3dd2fa2" targetNamespace="http://schemas.microsoft.com/office/2006/metadata/properties" ma:root="true" ma:fieldsID="b6678400c9dac75fcb407e283e6cd394" ns2:_="" ns3:_="">
    <xsd:import namespace="99b5c339-67b5-426a-bb6f-852471994bd1"/>
    <xsd:import namespace="a3a186f0-bd72-4204-bbb4-ae71a3dd2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c339-67b5-426a-bb6f-85247199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a186f0-bd72-4204-bbb4-ae71a3dd2f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a186f0-bd72-4204-bbb4-ae71a3dd2fa2">
      <UserInfo>
        <DisplayName>Hatchell Wood Head</DisplayName>
        <AccountId>10</AccountId>
        <AccountType/>
      </UserInfo>
    </SharedWithUsers>
  </documentManagement>
</p:properties>
</file>

<file path=customXml/itemProps1.xml><?xml version="1.0" encoding="utf-8"?>
<ds:datastoreItem xmlns:ds="http://schemas.openxmlformats.org/officeDocument/2006/customXml" ds:itemID="{6389E06C-3F3F-4A7A-BF4C-D115B24095FB}"/>
</file>

<file path=customXml/itemProps2.xml><?xml version="1.0" encoding="utf-8"?>
<ds:datastoreItem xmlns:ds="http://schemas.openxmlformats.org/officeDocument/2006/customXml" ds:itemID="{A6F58EC7-87D1-4212-91A4-51E38094F145}"/>
</file>

<file path=customXml/itemProps3.xml><?xml version="1.0" encoding="utf-8"?>
<ds:datastoreItem xmlns:ds="http://schemas.openxmlformats.org/officeDocument/2006/customXml" ds:itemID="{84BDFEBA-0CAF-4E01-B233-950A9B5290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Hatchell Wood Head</lastModifiedBy>
  <revision>36</revision>
  <lastPrinted>2021-09-08T08:26:00.0000000Z</lastPrinted>
  <dcterms:created xsi:type="dcterms:W3CDTF">2023-05-02T09:42:00.0000000Z</dcterms:created>
  <dcterms:modified xsi:type="dcterms:W3CDTF">2025-09-03T09:25:11.4071623Z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0x0101008A62F7119D96324FB2F6FCD4EEB0970A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